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4F" w:rsidRPr="00F32E4F" w:rsidRDefault="00F32E4F" w:rsidP="00F32E4F">
      <w:pPr>
        <w:overflowPunct w:val="0"/>
        <w:autoSpaceDE w:val="0"/>
        <w:autoSpaceDN w:val="0"/>
        <w:adjustRightInd w:val="0"/>
        <w:spacing w:after="80" w:line="240" w:lineRule="auto"/>
        <w:ind w:right="360"/>
        <w:textAlignment w:val="baseline"/>
        <w:rPr>
          <w:rFonts w:ascii="Arial" w:eastAsia="Times New Roman" w:hAnsi="Arial" w:cs="Times New Roman"/>
          <w:sz w:val="24"/>
          <w:szCs w:val="20"/>
        </w:rPr>
      </w:pPr>
      <w:r w:rsidRPr="00F32E4F">
        <w:rPr>
          <w:rFonts w:ascii="Arial" w:eastAsia="Times New Roman" w:hAnsi="Arial" w:cs="Times New Roman"/>
          <w:sz w:val="24"/>
          <w:szCs w:val="20"/>
        </w:rPr>
        <w:t>The Presbyterian Church in Ireland Pension Scheme (2009)</w:t>
      </w:r>
    </w:p>
    <w:p w:rsidR="00F32E4F" w:rsidRPr="00F32E4F" w:rsidRDefault="00F32E4F" w:rsidP="00F32E4F">
      <w:pPr>
        <w:overflowPunct w:val="0"/>
        <w:autoSpaceDE w:val="0"/>
        <w:autoSpaceDN w:val="0"/>
        <w:adjustRightInd w:val="0"/>
        <w:spacing w:before="600" w:after="0" w:line="400" w:lineRule="atLeast"/>
        <w:textAlignment w:val="baseline"/>
        <w:rPr>
          <w:rFonts w:ascii="Arial" w:eastAsia="Times New Roman" w:hAnsi="Arial" w:cs="Times New Roman"/>
          <w:b/>
          <w:sz w:val="32"/>
          <w:szCs w:val="20"/>
        </w:rPr>
      </w:pPr>
      <w:r w:rsidRPr="00F32E4F">
        <w:rPr>
          <w:rFonts w:ascii="Arial" w:eastAsia="Times New Roman" w:hAnsi="Arial" w:cs="Times New Roman"/>
          <w:b/>
          <w:noProof/>
          <w:sz w:val="32"/>
          <w:szCs w:val="20"/>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403850" cy="61595"/>
                <wp:effectExtent l="0" t="254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61595"/>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C42B" id="Rectangle 2" o:spid="_x0000_s1026" style="position:absolute;margin-left:0;margin-top:.2pt;width:425.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" fillcolor="#969696" stroked="f" strokeweight="0"/>
            </w:pict>
          </mc:Fallback>
        </mc:AlternateContent>
      </w:r>
      <w:r w:rsidRPr="00F32E4F">
        <w:rPr>
          <w:rFonts w:ascii="Arial" w:eastAsia="Times New Roman" w:hAnsi="Arial" w:cs="Times New Roman"/>
          <w:b/>
          <w:noProof/>
          <w:sz w:val="32"/>
          <w:szCs w:val="20"/>
          <w:lang w:val="en-US"/>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2540</wp:posOffset>
                </wp:positionV>
                <wp:extent cx="1126490" cy="61595"/>
                <wp:effectExtent l="0" t="254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615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DF6C" id="Rectangle 1" o:spid="_x0000_s1026" style="position:absolute;margin-left:-81pt;margin-top:.2pt;width:88.7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RM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" fillcolor="black" stroked="f" strokeweight="0"/>
            </w:pict>
          </mc:Fallback>
        </mc:AlternateContent>
      </w:r>
      <w:r w:rsidRPr="00F32E4F">
        <w:rPr>
          <w:rFonts w:ascii="Arial" w:eastAsia="Times New Roman" w:hAnsi="Arial" w:cs="Times New Roman"/>
          <w:b/>
          <w:sz w:val="32"/>
          <w:szCs w:val="20"/>
        </w:rPr>
        <w:t>Implementation Statement for the year ended 31 December 202</w:t>
      </w:r>
      <w:r w:rsidR="00430D55">
        <w:rPr>
          <w:rFonts w:ascii="Arial" w:eastAsia="Times New Roman" w:hAnsi="Arial" w:cs="Times New Roman"/>
          <w:b/>
          <w:sz w:val="32"/>
          <w:szCs w:val="20"/>
        </w:rPr>
        <w:t>2</w:t>
      </w:r>
    </w:p>
    <w:p w:rsidR="00F32E4F" w:rsidRDefault="00F32E4F" w:rsidP="00F32E4F">
      <w:pPr>
        <w:pStyle w:val="Table3"/>
        <w:numPr>
          <w:ilvl w:val="12"/>
          <w:numId w:val="0"/>
        </w:numPr>
        <w:tabs>
          <w:tab w:val="left" w:pos="4253"/>
          <w:tab w:val="left" w:pos="5387"/>
        </w:tabs>
        <w:ind w:left="426" w:hanging="426"/>
        <w:jc w:val="both"/>
        <w:rPr>
          <w:rFonts w:ascii="Arial" w:hAnsi="Arial" w:cs="Arial"/>
          <w:b/>
          <w:sz w:val="22"/>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left="426" w:right="57" w:hanging="426"/>
        <w:jc w:val="both"/>
        <w:textAlignment w:val="baseline"/>
        <w:rPr>
          <w:rFonts w:ascii="Arial" w:eastAsia="Times New Roman" w:hAnsi="Arial" w:cs="Arial"/>
          <w:b/>
          <w:szCs w:val="20"/>
        </w:rPr>
      </w:pPr>
      <w:r w:rsidRPr="00430D55">
        <w:rPr>
          <w:rFonts w:ascii="Arial" w:eastAsia="Times New Roman" w:hAnsi="Arial" w:cs="Arial"/>
          <w:b/>
          <w:szCs w:val="20"/>
        </w:rPr>
        <w:t>1.</w:t>
      </w:r>
      <w:r w:rsidRPr="00430D55">
        <w:rPr>
          <w:rFonts w:ascii="Arial" w:eastAsia="Times New Roman" w:hAnsi="Arial" w:cs="Arial"/>
          <w:b/>
          <w:szCs w:val="20"/>
        </w:rPr>
        <w:tab/>
        <w:t xml:space="preserve">Introduction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Under regulatory requirements, trustees are required to prepare and review an implementation statement outlining their approach and stewardship dealing with certain specific matters with regards to their Environmental, Social and Governance (ESG) principles outlined in their latest Statement of Investment Principles (SIP).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This Statement sets out the principles governing decisions about the ESG aspect of investment of the assets of Presbyterian Church in Ireland Pension Scheme (the Scheme). In preparing it, the Trustees obtained written reporting on these matters from Barker Tatham Investment Consultants Limited as its investment consultants.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left="567" w:right="57" w:hanging="567"/>
        <w:jc w:val="both"/>
        <w:textAlignment w:val="baseline"/>
        <w:rPr>
          <w:rFonts w:ascii="Arial" w:eastAsia="Times New Roman" w:hAnsi="Arial" w:cs="Arial"/>
          <w:b/>
          <w:szCs w:val="20"/>
        </w:rPr>
      </w:pPr>
      <w:r w:rsidRPr="00430D55">
        <w:rPr>
          <w:rFonts w:ascii="Arial" w:eastAsia="Times New Roman" w:hAnsi="Arial" w:cs="Arial"/>
          <w:b/>
          <w:szCs w:val="20"/>
        </w:rPr>
        <w:t xml:space="preserve">2. </w:t>
      </w:r>
      <w:r w:rsidRPr="00430D55">
        <w:rPr>
          <w:rFonts w:ascii="Arial" w:eastAsia="Times New Roman" w:hAnsi="Arial" w:cs="Arial"/>
          <w:b/>
          <w:szCs w:val="20"/>
        </w:rPr>
        <w:tab/>
        <w:t xml:space="preserve">ESG Principles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 xml:space="preserve">Environmental, Social and Corporate Governance Policies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In endeavouring to invest in the best financial interests of the beneficiaries, the Trustees have elected to invest through pooled funds. The Trustees’ policy on ethical investment is as far as practical to have minimal investment in a company where all or a substantial part of the business involves alcohol, tobacco, gambling or the arms trade. It acknowledges that it cannot directly influence the environmental, social and governance (“ESG”) policies and practices of the companies in which the pooled funds invest as index tracking funds are being used for equity investment and therefore limits their equity investments to ‘Ethical’ versions of these index funds. The Trustees also acknowledge that where index tracking pooled vehicles are employed not all ESG considerations can be </w:t>
      </w:r>
      <w:proofErr w:type="gramStart"/>
      <w:r w:rsidRPr="00430D55">
        <w:rPr>
          <w:rFonts w:ascii="Times New Roman" w:eastAsia="Times New Roman" w:hAnsi="Times New Roman" w:cs="Times New Roman"/>
          <w:sz w:val="20"/>
          <w:szCs w:val="20"/>
        </w:rPr>
        <w:t>taken into account</w:t>
      </w:r>
      <w:proofErr w:type="gramEnd"/>
      <w:r w:rsidRPr="00430D55">
        <w:rPr>
          <w:rFonts w:ascii="Times New Roman" w:eastAsia="Times New Roman" w:hAnsi="Times New Roman" w:cs="Times New Roman"/>
          <w:sz w:val="20"/>
          <w:szCs w:val="20"/>
        </w:rPr>
        <w:t xml:space="preserve"> due to the nature of the investment. As part of the Scheme’s considerations to their ESG commitments they have invested in the Ethical Global Equity Index Fund with LGIM.</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The Trustees encourage and expects their fund manager to actively participate in engagement activities in respect of investments (stewardship).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Further information on the Trustees’ policies can be found in the latest SIP updated in 2020.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In the Trustees’ opinion, their policies, as recorded in the SIP, have been followed over the 12-month period to 31 December 2022.</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The following pages illustrate how the Trustees, through their fund manager, have followed their stewardship and engagement policies.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left="567" w:right="57" w:hanging="567"/>
        <w:jc w:val="both"/>
        <w:textAlignment w:val="baseline"/>
        <w:rPr>
          <w:rFonts w:ascii="Arial" w:eastAsia="Times New Roman" w:hAnsi="Arial" w:cs="Arial"/>
          <w:b/>
          <w:szCs w:val="20"/>
        </w:rPr>
      </w:pPr>
      <w:r w:rsidRPr="00430D55">
        <w:rPr>
          <w:rFonts w:ascii="Arial" w:eastAsia="Times New Roman" w:hAnsi="Arial" w:cs="Arial"/>
          <w:b/>
          <w:szCs w:val="20"/>
        </w:rPr>
        <w:t>3.</w:t>
      </w:r>
      <w:r w:rsidRPr="00430D55">
        <w:rPr>
          <w:rFonts w:ascii="Arial" w:eastAsia="Times New Roman" w:hAnsi="Arial" w:cs="Arial"/>
          <w:b/>
          <w:szCs w:val="20"/>
        </w:rPr>
        <w:tab/>
        <w:t xml:space="preserve">Investments Attitudes to ESG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b/>
          <w:sz w:val="20"/>
          <w:szCs w:val="20"/>
        </w:rPr>
        <w:t>Fund Manager</w:t>
      </w:r>
      <w:r w:rsidRPr="00430D55">
        <w:rPr>
          <w:rFonts w:ascii="Times New Roman" w:eastAsia="Times New Roman" w:hAnsi="Times New Roman" w:cs="Times New Roman"/>
          <w:sz w:val="20"/>
          <w:szCs w:val="20"/>
        </w:rPr>
        <w:t xml:space="preserve"> – Legal &amp; General Investment Management (LGIM)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 xml:space="preserve">Funds </w:t>
      </w:r>
    </w:p>
    <w:p w:rsidR="00430D55" w:rsidRPr="00430D55" w:rsidRDefault="00430D55" w:rsidP="00430D55">
      <w:pPr>
        <w:numPr>
          <w:ilvl w:val="0"/>
          <w:numId w:val="1"/>
        </w:numPr>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Managed Property Fund</w:t>
      </w:r>
    </w:p>
    <w:p w:rsidR="00430D55" w:rsidRPr="00430D55" w:rsidRDefault="00430D55" w:rsidP="00430D55">
      <w:pPr>
        <w:numPr>
          <w:ilvl w:val="0"/>
          <w:numId w:val="1"/>
        </w:numPr>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Ethical Global Equity Index Fund</w:t>
      </w:r>
    </w:p>
    <w:p w:rsidR="00430D55" w:rsidRPr="00430D55" w:rsidRDefault="00430D55" w:rsidP="00430D55">
      <w:pPr>
        <w:numPr>
          <w:ilvl w:val="0"/>
          <w:numId w:val="1"/>
        </w:numPr>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Dynamic Diversified Fund</w:t>
      </w:r>
    </w:p>
    <w:p w:rsidR="00430D55" w:rsidRPr="00430D55" w:rsidRDefault="00430D55" w:rsidP="00430D55">
      <w:pPr>
        <w:numPr>
          <w:ilvl w:val="0"/>
          <w:numId w:val="1"/>
        </w:numPr>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LDI Matching Core Fixed (Long) Fund</w:t>
      </w:r>
    </w:p>
    <w:p w:rsidR="00430D55" w:rsidRPr="00430D55" w:rsidRDefault="00430D55" w:rsidP="00430D55">
      <w:pPr>
        <w:numPr>
          <w:ilvl w:val="0"/>
          <w:numId w:val="1"/>
        </w:numPr>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LDI Matching Core Real (Long) Fund</w:t>
      </w:r>
    </w:p>
    <w:p w:rsidR="00430D55" w:rsidRPr="00430D55" w:rsidRDefault="00430D55" w:rsidP="00430D55">
      <w:pPr>
        <w:numPr>
          <w:ilvl w:val="0"/>
          <w:numId w:val="1"/>
        </w:numPr>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Cash Fund (Partially invested during the year)</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left="426" w:right="57" w:hanging="284"/>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ESG Description</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 xml:space="preserve">• Fund Manager Overview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LGIM’s ultimate goal is to protect and enhance the investment returns generated by their clients’ assets whilst aiming to have a long-standing commitment to raising corporate governance and sustainability standards to ultimately enhance the value of companies in which they invest.</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has publicly committed to the following three goals as part of their five-year strategic plan:</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Influencing the transition to a low-carbon economy</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Making society more resilient with our financial</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solutions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Creating new investments for the future economy</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Further information on how they can receive these goals is publicly available on the parent company Legal &amp; General Group plc’s reporting on corporate responsibility.</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hyperlink r:id="rId5" w:history="1">
        <w:r w:rsidRPr="00430D55">
          <w:rPr>
            <w:rFonts w:ascii="Times New Roman" w:eastAsia="Times New Roman" w:hAnsi="Times New Roman" w:cs="Times New Roman"/>
            <w:color w:val="0563C1"/>
            <w:sz w:val="20"/>
            <w:szCs w:val="20"/>
            <w:u w:val="single"/>
          </w:rPr>
          <w:t>https://www.legalandgeneralgroup.com/csr/csr-reports/</w:t>
        </w:r>
      </w:hyperlink>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 xml:space="preserve">• ESG Integration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uses a bottom-up and a top-down approach to monitoring and analysis as well as using ESG information that comes out from engagement meetings with companies. LGIM’s ESG scoring tool assesses companies in 17 different sectors on their disclosure, policies and processes for managing ESG risks. LGIM has set up three long-term thematic working groups (demographics, energy and technology) that undertake top-down research and analysis of macroeconomic issues, related to responsible investment and ESG. Direct engagement with companies is a way LGIM seek to identify ESG risks and opportunities. LGIM have an escalation policy to tackle difficult and inter-connected ESG issues that materially impact the value of assets.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have an Active ESG View tool that forms an essential component of the overall active research process. The tool brings together granular quantitative and qualitative inputs in order to reflect a full picture of the ESG risks and opportunities embedded within each company. ESG risks vary across sectors and therefore the proprietary tool LGIM has developed, evaluates sector-specific ESG factors, spanning 64 specific sectors and sub-sectors. LGIM incorporate a qualitative approach on top of this as data alone may not tell the full story.</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 Active Ownership (Year to 31 December 2022)</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report annually on their active ownership to 31 March each year and have provided quarterly reporting on their proxy voting 12 months to 31 December 2022. LGIM’s Corporate Governance team casts proxy votes in a manner consistent with the interests of all clients. They direct the vote of a significant proportion of a companies’ shares by exercising the shareholder rights of almost all clients. LGIM acknowledges that the Scheme as one of their clients, in giving LGIM their mandate, require LGIM to vote with the shares on the behalf of the Scheme. LGIM therefore aim to minimise abstaining from voting, only doing so if it is technically not possible to cast a vote in any other way.</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LGIM’s voting decisions are made internally within the corporate governance team, and independently from the investment teams. LGIM have in place supplementary regional policies setting out their voting approaches publicly on their website however various other factors may also help them form a view on voting matters. These consist of; previous engagement, third party research (e.g. ESG reports, broker research), company performance and LGIM’s in-house views with respect to their investment teams.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The following paragraphs relate to the active ownership or approaches to ESG specific to the funds in which the Scheme is currently invested:</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Managed Property Fund</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recognise that the built environment has significant impact on UK society and its ecosystem. The fund managers are ultimately responsible for their respective vehicle and with their property managing agents for the integration and application of ESG principles to their portfolios. All Fund and Asset Managers have objectives linked to sustainability objectives, meaning successful delivery is linked to their renumeration.</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Ethical Global Equity Index Fund</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This fund tracks the performance of the FTSE 4Good Developed Index which is a series of benchmark and tradable indexes for ESG (Environmental, Social and Governance) investors. Over the 12 months to end </w:t>
      </w:r>
      <w:r w:rsidRPr="00430D55">
        <w:rPr>
          <w:rFonts w:ascii="Times New Roman" w:eastAsia="Times New Roman" w:hAnsi="Times New Roman" w:cs="Times New Roman"/>
          <w:sz w:val="20"/>
          <w:szCs w:val="20"/>
        </w:rPr>
        <w:lastRenderedPageBreak/>
        <w:t>December 2022, LGIM were eligible to vote at 1,141 meetings and on 16,528 resolutions over the 12-month period. LGIM voted on 99.7% of resolutions. 82.0% of votes were votes for management, 17.8% were votes against and 0.2% were votes abstained from.</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Dynamic Diversified Fund</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Over the 12 months to end December 2022, LGIM were eligible to vote at 9,448 meetings and on 98,208 resolutions over the 12-month period. LGIM voted on 99.8% of resolutions. 77.6% of votes were votes for, 21.7% were votes against and 0.7% were votes abstained from.</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Matching Core LDI Real and Fixed Funds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aims to embed ESG where appropriate. Following a research meeting with LGIM on their LDI ranges, we could expect to a flexible incorporation of green gilt(s) in LDI mandates. These may be tailored to client specific ESG objectives, such as targeting a minimum proportion in green gilts. ESG is embedded within LGIM’s counterparty review process via their Active ESG tool, alongside other business and financial risks, so that when they decide upon appropriate derivative counterparties, ESG considerations have already been captured. This integration has led to the exclusion of some counterparties from the list of eligible counterparties where required.</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Cash Fund</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The fund provides investors with a solution for their cash management requirements. The fund primarily holds short-term deposits (up to a normal maximum maturity of 35 days) with a range of high-quality financial institutions. The fund may also invest in UK treasury bills. There is no voting activity to report.</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A case study by LGIM looks at the company Prologis, Inc. LGIM voted against the election of Hamid R. Moghadam as a director. A vote against was applied as LGIM expects a separation of power between the chairperson and the CEO. LGIM also expects the Board of Directors to be regularly refreshed to maintain an appropriate level of independence.</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A further case study by LGIM looks at the company Apple, Inc. which in March 2022, decided to report on Civil Rights Audit. LGIM have a longstanding policy advocating for diversity and inclusion. Hence, LGIM voted for the resolution as they consider these issues as material risk to companies.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Another case study by LGIM looks at the company Alphabet Inc. LGIM voted in favour of reporting on physical risks of climate change. LGIM considers this issue to be significant as it is an escalation of their climate-related engagement and expects companies to be taking sufficient actions on the key issue of climate change. </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An additional case study by LGIM looks at the company AT&amp;T, Inc. In May 2022, LGIM voted for on the resolution of having an Independent Board Chair. LGIM expects companies to establish the role of an independent Board Chair.</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bookmarkStart w:id="0" w:name="_GoBack"/>
      <w:bookmarkEnd w:id="0"/>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r w:rsidRPr="00430D55">
        <w:rPr>
          <w:rFonts w:ascii="Times New Roman" w:eastAsia="Times New Roman" w:hAnsi="Times New Roman" w:cs="Times New Roman"/>
          <w:b/>
          <w:sz w:val="20"/>
          <w:szCs w:val="20"/>
        </w:rPr>
        <w:t>References</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b/>
          <w:sz w:val="20"/>
          <w:szCs w:val="20"/>
        </w:rPr>
      </w:pP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LGIM aims to implement best practice reporting to stakeholders including an:</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 - Annual Active Ownership report</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 - Quarterly ESG Impact Report</w:t>
      </w:r>
    </w:p>
    <w:p w:rsidR="00430D55" w:rsidRPr="00430D55" w:rsidRDefault="00430D55" w:rsidP="00430D55">
      <w:pPr>
        <w:numPr>
          <w:ilvl w:val="12"/>
          <w:numId w:val="0"/>
        </w:numPr>
        <w:tabs>
          <w:tab w:val="left" w:pos="4253"/>
          <w:tab w:val="left" w:pos="5387"/>
          <w:tab w:val="decimal" w:pos="6237"/>
          <w:tab w:val="decimal" w:pos="7371"/>
          <w:tab w:val="decimal" w:pos="8505"/>
        </w:tabs>
        <w:overflowPunct w:val="0"/>
        <w:autoSpaceDE w:val="0"/>
        <w:autoSpaceDN w:val="0"/>
        <w:adjustRightInd w:val="0"/>
        <w:spacing w:before="20" w:after="0" w:line="200" w:lineRule="exact"/>
        <w:ind w:right="57"/>
        <w:jc w:val="both"/>
        <w:textAlignment w:val="baseline"/>
        <w:rPr>
          <w:rFonts w:ascii="Times New Roman" w:eastAsia="Times New Roman" w:hAnsi="Times New Roman" w:cs="Times New Roman"/>
          <w:sz w:val="20"/>
          <w:szCs w:val="20"/>
        </w:rPr>
      </w:pPr>
      <w:r w:rsidRPr="00430D55">
        <w:rPr>
          <w:rFonts w:ascii="Times New Roman" w:eastAsia="Times New Roman" w:hAnsi="Times New Roman" w:cs="Times New Roman"/>
          <w:sz w:val="20"/>
          <w:szCs w:val="20"/>
        </w:rPr>
        <w:t xml:space="preserve"> - Public monthly voting reports</w:t>
      </w:r>
    </w:p>
    <w:p w:rsidR="00430D55" w:rsidRDefault="00430D55" w:rsidP="00430D55">
      <w:pPr>
        <w:pStyle w:val="Table3"/>
        <w:numPr>
          <w:ilvl w:val="12"/>
          <w:numId w:val="0"/>
        </w:numPr>
        <w:tabs>
          <w:tab w:val="left" w:pos="4253"/>
          <w:tab w:val="left" w:pos="5387"/>
        </w:tabs>
        <w:jc w:val="both"/>
      </w:pPr>
    </w:p>
    <w:sectPr w:rsidR="0043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B95"/>
    <w:multiLevelType w:val="hybridMultilevel"/>
    <w:tmpl w:val="B3CC2EE2"/>
    <w:lvl w:ilvl="0" w:tplc="26E0C0C4">
      <w:start w:val="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4F"/>
    <w:rsid w:val="00430D55"/>
    <w:rsid w:val="00D12429"/>
    <w:rsid w:val="00F3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B27F"/>
  <w15:chartTrackingRefBased/>
  <w15:docId w15:val="{C8A684BB-E146-41EB-880F-34A18EB1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3">
    <w:name w:val="Table3"/>
    <w:basedOn w:val="Normal"/>
    <w:rsid w:val="00F32E4F"/>
    <w:pPr>
      <w:tabs>
        <w:tab w:val="decimal" w:pos="6237"/>
        <w:tab w:val="decimal" w:pos="7371"/>
        <w:tab w:val="decimal" w:pos="8505"/>
      </w:tabs>
      <w:overflowPunct w:val="0"/>
      <w:autoSpaceDE w:val="0"/>
      <w:autoSpaceDN w:val="0"/>
      <w:adjustRightInd w:val="0"/>
      <w:spacing w:before="20" w:after="0" w:line="200" w:lineRule="exact"/>
      <w:ind w:right="57"/>
      <w:textAlignment w:val="baseline"/>
    </w:pPr>
    <w:rPr>
      <w:rFonts w:ascii="Times New Roman" w:eastAsia="Times New Roman" w:hAnsi="Times New Roman" w:cs="Times New Roman"/>
      <w:sz w:val="20"/>
      <w:szCs w:val="20"/>
    </w:rPr>
  </w:style>
  <w:style w:type="character" w:styleId="Hyperlink">
    <w:name w:val="Hyperlink"/>
    <w:rsid w:val="00430D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andgeneralgroup.com/csr/csr-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Knox</dc:creator>
  <cp:keywords/>
  <dc:description/>
  <cp:lastModifiedBy>Clive Knox</cp:lastModifiedBy>
  <cp:revision>2</cp:revision>
  <dcterms:created xsi:type="dcterms:W3CDTF">2023-03-24T10:10:00Z</dcterms:created>
  <dcterms:modified xsi:type="dcterms:W3CDTF">2023-03-24T10:10:00Z</dcterms:modified>
</cp:coreProperties>
</file>