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93A1" w14:textId="77777777" w:rsidR="00F27022" w:rsidRPr="00F373AF" w:rsidRDefault="00F27022" w:rsidP="00F27022">
      <w:pPr>
        <w:spacing w:line="240" w:lineRule="auto"/>
        <w:jc w:val="center"/>
        <w:rPr>
          <w:rFonts w:ascii="Helvetica" w:hAnsi="Helvetica" w:cs="Calibri"/>
          <w:b/>
          <w:sz w:val="36"/>
          <w:szCs w:val="36"/>
          <w:lang w:eastAsia="en-GB"/>
        </w:rPr>
      </w:pPr>
      <w:r w:rsidRPr="00F373AF">
        <w:rPr>
          <w:rFonts w:ascii="Helvetica" w:hAnsi="Helvetica" w:cs="Calibri"/>
          <w:b/>
          <w:sz w:val="36"/>
          <w:szCs w:val="36"/>
          <w:lang w:eastAsia="en-GB"/>
        </w:rPr>
        <w:t>DATA RETENTION POLICY</w:t>
      </w:r>
    </w:p>
    <w:p w14:paraId="2E48733D" w14:textId="77777777" w:rsidR="00F27022" w:rsidRPr="00F373AF" w:rsidRDefault="00F27022" w:rsidP="00F27022">
      <w:pPr>
        <w:spacing w:line="240" w:lineRule="auto"/>
        <w:jc w:val="center"/>
        <w:rPr>
          <w:rFonts w:ascii="Helvetica" w:hAnsi="Helvetica" w:cs="Calibri"/>
          <w:sz w:val="24"/>
          <w:szCs w:val="24"/>
          <w:lang w:eastAsia="en-GB"/>
        </w:rPr>
      </w:pPr>
      <w:r w:rsidRPr="00F373AF">
        <w:rPr>
          <w:rFonts w:ascii="Helvetica" w:hAnsi="Helvetica" w:cs="Calibri"/>
          <w:color w:val="FF0000"/>
          <w:sz w:val="32"/>
          <w:szCs w:val="32"/>
          <w:lang w:eastAsia="en-GB"/>
        </w:rPr>
        <w:t>[Insert name of Presbytery or Congregation</w:t>
      </w:r>
      <w:r w:rsidRPr="00F373AF">
        <w:rPr>
          <w:rFonts w:ascii="Helvetica" w:hAnsi="Helvetica" w:cs="Calibri"/>
          <w:color w:val="FF0000"/>
          <w:sz w:val="24"/>
          <w:szCs w:val="24"/>
          <w:lang w:eastAsia="en-GB"/>
        </w:rPr>
        <w:t>]</w:t>
      </w:r>
    </w:p>
    <w:p w14:paraId="51ECD7B2" w14:textId="3A284C69" w:rsidR="00F27022" w:rsidRPr="00F373AF" w:rsidRDefault="00F27022" w:rsidP="00F27022">
      <w:pPr>
        <w:numPr>
          <w:ilvl w:val="1"/>
          <w:numId w:val="0"/>
        </w:numPr>
        <w:tabs>
          <w:tab w:val="num" w:pos="0"/>
        </w:tabs>
        <w:spacing w:after="160" w:line="259" w:lineRule="auto"/>
        <w:rPr>
          <w:rFonts w:ascii="Helvetica" w:eastAsia="Calibri" w:hAnsi="Helvetica" w:cs="Calibri"/>
          <w:lang w:eastAsia="en-GB"/>
        </w:rPr>
      </w:pPr>
    </w:p>
    <w:p w14:paraId="370838F4" w14:textId="77777777" w:rsidR="0083731E" w:rsidRPr="00F373AF" w:rsidRDefault="0083731E" w:rsidP="00F27022">
      <w:pPr>
        <w:numPr>
          <w:ilvl w:val="1"/>
          <w:numId w:val="0"/>
        </w:numPr>
        <w:tabs>
          <w:tab w:val="num" w:pos="0"/>
        </w:tabs>
        <w:spacing w:after="160" w:line="259" w:lineRule="auto"/>
        <w:rPr>
          <w:rFonts w:ascii="Helvetica" w:eastAsia="Calibri" w:hAnsi="Helvetica" w:cs="Calibri"/>
          <w:lang w:eastAsia="en-GB"/>
        </w:rPr>
      </w:pPr>
    </w:p>
    <w:p w14:paraId="061BA2B5" w14:textId="77777777" w:rsidR="00F27022" w:rsidRPr="00F373AF" w:rsidRDefault="00F27022" w:rsidP="00F27022">
      <w:pPr>
        <w:spacing w:line="240" w:lineRule="auto"/>
        <w:rPr>
          <w:rFonts w:ascii="Helvetica" w:hAnsi="Helvetica" w:cs="Calibri"/>
          <w:lang w:eastAsia="en-GB"/>
        </w:rPr>
      </w:pPr>
    </w:p>
    <w:p w14:paraId="6D3DA177" w14:textId="54518810" w:rsidR="00F27022" w:rsidRPr="00F373AF" w:rsidRDefault="00A43EC5" w:rsidP="00D72F1F">
      <w:pPr>
        <w:keepNext/>
        <w:tabs>
          <w:tab w:val="num" w:pos="720"/>
        </w:tabs>
        <w:spacing w:line="259" w:lineRule="auto"/>
        <w:ind w:left="720" w:hanging="720"/>
        <w:outlineLvl w:val="2"/>
        <w:rPr>
          <w:rFonts w:ascii="Helvetica" w:eastAsia="Calibri" w:hAnsi="Helvetica" w:cs="Calibri"/>
          <w:b/>
          <w:sz w:val="24"/>
          <w:szCs w:val="24"/>
          <w:lang w:eastAsia="en-GB"/>
        </w:rPr>
      </w:pPr>
      <w:r w:rsidRPr="00F373AF">
        <w:rPr>
          <w:rFonts w:ascii="Helvetica" w:eastAsia="Calibri" w:hAnsi="Helvetica" w:cs="Calibri"/>
          <w:b/>
          <w:sz w:val="24"/>
          <w:szCs w:val="24"/>
          <w:lang w:eastAsia="en-GB"/>
        </w:rPr>
        <w:t>INTRODUCTION</w:t>
      </w:r>
    </w:p>
    <w:p w14:paraId="008C7DDD" w14:textId="77777777" w:rsidR="0083731E" w:rsidRPr="00F373AF" w:rsidRDefault="0083731E" w:rsidP="00D72F1F">
      <w:pPr>
        <w:keepNext/>
        <w:tabs>
          <w:tab w:val="num" w:pos="720"/>
        </w:tabs>
        <w:spacing w:line="259" w:lineRule="auto"/>
        <w:ind w:left="720" w:hanging="720"/>
        <w:outlineLvl w:val="2"/>
        <w:rPr>
          <w:rFonts w:ascii="Helvetica" w:eastAsia="Calibri" w:hAnsi="Helvetica" w:cs="Calibri"/>
          <w:b/>
          <w:sz w:val="24"/>
          <w:szCs w:val="24"/>
          <w:lang w:eastAsia="en-GB"/>
        </w:rPr>
      </w:pPr>
    </w:p>
    <w:p w14:paraId="4D5B22A3" w14:textId="66F549B4" w:rsidR="0081149F" w:rsidRPr="00F373AF" w:rsidRDefault="0081149F" w:rsidP="0083731E">
      <w:p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 xml:space="preserve">The law does not specify minimum or maximum periods </w:t>
      </w:r>
      <w:r w:rsidR="00FC7793" w:rsidRPr="00F373AF">
        <w:rPr>
          <w:rFonts w:ascii="Helvetica" w:eastAsia="Calibri" w:hAnsi="Helvetica" w:cs="Calibri"/>
          <w:sz w:val="24"/>
          <w:szCs w:val="24"/>
          <w:lang w:eastAsia="en-GB"/>
        </w:rPr>
        <w:t>for retaining personal data but rather gives the general principle:</w:t>
      </w:r>
    </w:p>
    <w:p w14:paraId="6CA0C77E" w14:textId="6B196BEF" w:rsidR="00FC7793" w:rsidRPr="00F373AF" w:rsidRDefault="00FC7793" w:rsidP="00F27022">
      <w:pPr>
        <w:spacing w:line="240" w:lineRule="auto"/>
        <w:rPr>
          <w:rFonts w:ascii="Helvetica" w:eastAsia="Calibri" w:hAnsi="Helvetica" w:cs="Calibri"/>
          <w:sz w:val="24"/>
          <w:szCs w:val="24"/>
          <w:lang w:eastAsia="en-GB"/>
        </w:rPr>
      </w:pPr>
    </w:p>
    <w:p w14:paraId="494E9F18" w14:textId="52EFC8F7" w:rsidR="00FC7793" w:rsidRPr="00F373AF" w:rsidRDefault="0083731E" w:rsidP="00F27022">
      <w:pPr>
        <w:spacing w:line="240" w:lineRule="auto"/>
        <w:rPr>
          <w:rFonts w:ascii="Helvetica" w:eastAsia="Calibri" w:hAnsi="Helvetica" w:cs="Calibri"/>
          <w:i/>
          <w:sz w:val="24"/>
          <w:szCs w:val="24"/>
          <w:lang w:eastAsia="en-GB"/>
        </w:rPr>
      </w:pPr>
      <w:r w:rsidRPr="00F373AF">
        <w:rPr>
          <w:rFonts w:ascii="Helvetica" w:eastAsia="Calibri" w:hAnsi="Helvetica" w:cs="Calibri"/>
          <w:i/>
          <w:sz w:val="24"/>
          <w:szCs w:val="24"/>
          <w:lang w:eastAsia="en-GB"/>
        </w:rPr>
        <w:t>‘</w:t>
      </w:r>
      <w:r w:rsidR="00FC7793" w:rsidRPr="00F373AF">
        <w:rPr>
          <w:rFonts w:ascii="Helvetica" w:eastAsia="Calibri" w:hAnsi="Helvetica" w:cs="Calibri"/>
          <w:i/>
          <w:sz w:val="24"/>
          <w:szCs w:val="24"/>
          <w:lang w:eastAsia="en-GB"/>
        </w:rPr>
        <w:t>Personal data processed for any p</w:t>
      </w:r>
      <w:r w:rsidR="00A43EC5" w:rsidRPr="00F373AF">
        <w:rPr>
          <w:rFonts w:ascii="Helvetica" w:eastAsia="Calibri" w:hAnsi="Helvetica" w:cs="Calibri"/>
          <w:i/>
          <w:sz w:val="24"/>
          <w:szCs w:val="24"/>
          <w:lang w:eastAsia="en-GB"/>
        </w:rPr>
        <w:t>urpose or purposes shall not be kept for longer than necessary for that purpose or purposes</w:t>
      </w:r>
      <w:r w:rsidRPr="00F373AF">
        <w:rPr>
          <w:rFonts w:ascii="Helvetica" w:eastAsia="Calibri" w:hAnsi="Helvetica" w:cs="Calibri"/>
          <w:i/>
          <w:sz w:val="24"/>
          <w:szCs w:val="24"/>
          <w:lang w:eastAsia="en-GB"/>
        </w:rPr>
        <w:t>.’</w:t>
      </w:r>
    </w:p>
    <w:p w14:paraId="70FF12DA" w14:textId="048337CD" w:rsidR="00A43EC5" w:rsidRPr="00F373AF" w:rsidRDefault="00A43EC5" w:rsidP="00F27022">
      <w:pPr>
        <w:spacing w:line="240" w:lineRule="auto"/>
        <w:rPr>
          <w:rFonts w:ascii="Helvetica" w:eastAsia="Calibri" w:hAnsi="Helvetica" w:cs="Calibri"/>
          <w:sz w:val="24"/>
          <w:szCs w:val="24"/>
          <w:lang w:eastAsia="en-GB"/>
        </w:rPr>
      </w:pPr>
    </w:p>
    <w:p w14:paraId="390057AA" w14:textId="0804B2C2" w:rsidR="00A43EC5" w:rsidRPr="00F373AF" w:rsidRDefault="00A43EC5" w:rsidP="00F27022">
      <w:p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In practice this means that we need to:</w:t>
      </w:r>
    </w:p>
    <w:p w14:paraId="374A7067" w14:textId="3DC6F489" w:rsidR="00A43EC5" w:rsidRPr="00F373AF" w:rsidRDefault="00A43EC5" w:rsidP="00F27022">
      <w:pPr>
        <w:spacing w:line="240" w:lineRule="auto"/>
        <w:rPr>
          <w:rFonts w:ascii="Helvetica" w:eastAsia="Calibri" w:hAnsi="Helvetica" w:cs="Calibri"/>
          <w:sz w:val="24"/>
          <w:szCs w:val="24"/>
          <w:lang w:eastAsia="en-GB"/>
        </w:rPr>
      </w:pPr>
    </w:p>
    <w:p w14:paraId="14A012CD" w14:textId="206E7F75" w:rsidR="00A43EC5" w:rsidRPr="00F373AF" w:rsidRDefault="00142B14" w:rsidP="00D72F1F">
      <w:pPr>
        <w:pStyle w:val="ListParagraph"/>
        <w:numPr>
          <w:ilvl w:val="0"/>
          <w:numId w:val="25"/>
        </w:num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r</w:t>
      </w:r>
      <w:r w:rsidR="00A43EC5" w:rsidRPr="00F373AF">
        <w:rPr>
          <w:rFonts w:ascii="Helvetica" w:eastAsia="Calibri" w:hAnsi="Helvetica" w:cs="Calibri"/>
          <w:sz w:val="24"/>
          <w:szCs w:val="24"/>
          <w:lang w:eastAsia="en-GB"/>
        </w:rPr>
        <w:t xml:space="preserve">eview the length of time we keep personal data </w:t>
      </w:r>
    </w:p>
    <w:p w14:paraId="19BD2D19" w14:textId="4BF4C9AC" w:rsidR="00A43EC5" w:rsidRPr="00F373AF" w:rsidRDefault="00142B14" w:rsidP="00D72F1F">
      <w:pPr>
        <w:pStyle w:val="ListParagraph"/>
        <w:numPr>
          <w:ilvl w:val="0"/>
          <w:numId w:val="25"/>
        </w:num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c</w:t>
      </w:r>
      <w:r w:rsidR="00A43EC5" w:rsidRPr="00F373AF">
        <w:rPr>
          <w:rFonts w:ascii="Helvetica" w:eastAsia="Calibri" w:hAnsi="Helvetica" w:cs="Calibri"/>
          <w:sz w:val="24"/>
          <w:szCs w:val="24"/>
          <w:lang w:eastAsia="en-GB"/>
        </w:rPr>
        <w:t>onsider the purposes for which we hold the information, as a guide to determining whether, and for how long, we retain it</w:t>
      </w:r>
    </w:p>
    <w:p w14:paraId="614E0E8B" w14:textId="5E7AADA3" w:rsidR="00A43EC5" w:rsidRPr="00F373AF" w:rsidRDefault="00142B14" w:rsidP="00D72F1F">
      <w:pPr>
        <w:pStyle w:val="ListParagraph"/>
        <w:numPr>
          <w:ilvl w:val="0"/>
          <w:numId w:val="25"/>
        </w:num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s</w:t>
      </w:r>
      <w:r w:rsidR="00A43EC5" w:rsidRPr="00F373AF">
        <w:rPr>
          <w:rFonts w:ascii="Helvetica" w:eastAsia="Calibri" w:hAnsi="Helvetica" w:cs="Calibri"/>
          <w:sz w:val="24"/>
          <w:szCs w:val="24"/>
          <w:lang w:eastAsia="en-GB"/>
        </w:rPr>
        <w:t xml:space="preserve">ecurely </w:t>
      </w:r>
      <w:r w:rsidRPr="00F373AF">
        <w:rPr>
          <w:rFonts w:ascii="Helvetica" w:eastAsia="Calibri" w:hAnsi="Helvetica" w:cs="Calibri"/>
          <w:sz w:val="24"/>
          <w:szCs w:val="24"/>
          <w:lang w:eastAsia="en-GB"/>
        </w:rPr>
        <w:t>delete</w:t>
      </w:r>
      <w:r w:rsidR="009E0C0E" w:rsidRPr="00F373AF">
        <w:rPr>
          <w:rFonts w:ascii="Helvetica" w:eastAsia="Calibri" w:hAnsi="Helvetica" w:cs="Calibri"/>
          <w:sz w:val="24"/>
          <w:szCs w:val="24"/>
          <w:lang w:eastAsia="en-GB"/>
        </w:rPr>
        <w:t xml:space="preserve"> or destroy</w:t>
      </w:r>
      <w:r w:rsidRPr="00F373AF">
        <w:rPr>
          <w:rFonts w:ascii="Helvetica" w:eastAsia="Calibri" w:hAnsi="Helvetica" w:cs="Calibri"/>
          <w:sz w:val="24"/>
          <w:szCs w:val="24"/>
          <w:lang w:eastAsia="en-GB"/>
        </w:rPr>
        <w:t xml:space="preserve"> </w:t>
      </w:r>
      <w:r w:rsidR="009E0C0E" w:rsidRPr="00F373AF">
        <w:rPr>
          <w:rFonts w:ascii="Helvetica" w:eastAsia="Calibri" w:hAnsi="Helvetica" w:cs="Calibri"/>
          <w:sz w:val="24"/>
          <w:szCs w:val="24"/>
          <w:lang w:eastAsia="en-GB"/>
        </w:rPr>
        <w:t>information</w:t>
      </w:r>
      <w:r w:rsidR="00A43EC5" w:rsidRPr="00F373AF">
        <w:rPr>
          <w:rFonts w:ascii="Helvetica" w:eastAsia="Calibri" w:hAnsi="Helvetica" w:cs="Calibri"/>
          <w:sz w:val="24"/>
          <w:szCs w:val="24"/>
          <w:lang w:eastAsia="en-GB"/>
        </w:rPr>
        <w:t xml:space="preserve"> </w:t>
      </w:r>
      <w:r w:rsidR="009E0C0E" w:rsidRPr="00F373AF">
        <w:rPr>
          <w:rFonts w:ascii="Helvetica" w:eastAsia="Calibri" w:hAnsi="Helvetica" w:cs="Calibri"/>
          <w:sz w:val="24"/>
          <w:szCs w:val="24"/>
          <w:lang w:eastAsia="en-GB"/>
        </w:rPr>
        <w:t>that is no longer needed for those purposes; and</w:t>
      </w:r>
    </w:p>
    <w:p w14:paraId="1568B3C9" w14:textId="77B6B77B" w:rsidR="009E0C0E" w:rsidRPr="00F373AF" w:rsidRDefault="009E0C0E" w:rsidP="00D72F1F">
      <w:pPr>
        <w:pStyle w:val="ListParagraph"/>
        <w:numPr>
          <w:ilvl w:val="0"/>
          <w:numId w:val="25"/>
        </w:numPr>
        <w:spacing w:line="240" w:lineRule="auto"/>
        <w:rPr>
          <w:rFonts w:ascii="Helvetica" w:eastAsia="Calibri" w:hAnsi="Helvetica" w:cs="Calibri"/>
          <w:sz w:val="24"/>
          <w:szCs w:val="24"/>
          <w:lang w:eastAsia="en-GB"/>
        </w:rPr>
      </w:pPr>
      <w:r w:rsidRPr="00F373AF">
        <w:rPr>
          <w:rFonts w:ascii="Helvetica" w:eastAsia="Calibri" w:hAnsi="Helvetica" w:cs="Calibri"/>
          <w:sz w:val="24"/>
          <w:szCs w:val="24"/>
          <w:lang w:eastAsia="en-GB"/>
        </w:rPr>
        <w:t>update, archive or securely delete or destroy information if it goes out of date</w:t>
      </w:r>
    </w:p>
    <w:p w14:paraId="261DD289" w14:textId="4D75F865" w:rsidR="00FC7793" w:rsidRPr="00F373AF" w:rsidRDefault="00FC7793" w:rsidP="00F27022">
      <w:pPr>
        <w:spacing w:line="240" w:lineRule="auto"/>
        <w:rPr>
          <w:rFonts w:ascii="Helvetica" w:eastAsia="Calibri" w:hAnsi="Helvetica" w:cs="Calibri"/>
          <w:sz w:val="24"/>
          <w:szCs w:val="24"/>
          <w:lang w:eastAsia="en-GB"/>
        </w:rPr>
      </w:pPr>
    </w:p>
    <w:p w14:paraId="41C70F23" w14:textId="77777777" w:rsidR="0083731E" w:rsidRPr="00F373AF" w:rsidRDefault="0083731E" w:rsidP="00F27022">
      <w:pPr>
        <w:spacing w:line="240" w:lineRule="auto"/>
        <w:rPr>
          <w:rFonts w:ascii="Helvetica" w:eastAsia="Calibri" w:hAnsi="Helvetica" w:cs="Calibri"/>
          <w:sz w:val="24"/>
          <w:szCs w:val="24"/>
          <w:lang w:eastAsia="en-GB"/>
        </w:rPr>
      </w:pPr>
    </w:p>
    <w:p w14:paraId="654F4AC9" w14:textId="05431EC7" w:rsidR="0081149F" w:rsidRPr="00F373AF" w:rsidRDefault="00A43EC5" w:rsidP="00F27022">
      <w:pPr>
        <w:spacing w:line="240" w:lineRule="auto"/>
        <w:rPr>
          <w:rFonts w:ascii="Helvetica" w:eastAsia="Calibri" w:hAnsi="Helvetica" w:cs="Calibri"/>
          <w:b/>
          <w:sz w:val="24"/>
          <w:szCs w:val="24"/>
          <w:lang w:eastAsia="en-GB"/>
        </w:rPr>
      </w:pPr>
      <w:r w:rsidRPr="00F373AF">
        <w:rPr>
          <w:rFonts w:ascii="Helvetica" w:eastAsia="Calibri" w:hAnsi="Helvetica" w:cs="Calibri"/>
          <w:b/>
          <w:sz w:val="24"/>
          <w:szCs w:val="24"/>
          <w:lang w:eastAsia="en-GB"/>
        </w:rPr>
        <w:t>PURPOSE</w:t>
      </w:r>
    </w:p>
    <w:p w14:paraId="7B0058BC" w14:textId="77777777" w:rsidR="00A43EC5" w:rsidRPr="00F373AF" w:rsidRDefault="00A43EC5" w:rsidP="00F27022">
      <w:pPr>
        <w:spacing w:line="240" w:lineRule="auto"/>
        <w:rPr>
          <w:rFonts w:ascii="Helvetica" w:eastAsia="Calibri" w:hAnsi="Helvetica" w:cs="Calibri"/>
          <w:sz w:val="24"/>
          <w:szCs w:val="24"/>
          <w:lang w:eastAsia="en-GB"/>
        </w:rPr>
      </w:pPr>
    </w:p>
    <w:p w14:paraId="70683668" w14:textId="3C4CB1D7" w:rsidR="00F27022" w:rsidRPr="00F373AF" w:rsidRDefault="00F27022" w:rsidP="00F27022">
      <w:pPr>
        <w:spacing w:line="240" w:lineRule="auto"/>
        <w:rPr>
          <w:rFonts w:ascii="Helvetica" w:hAnsi="Helvetica" w:cs="Calibri"/>
          <w:sz w:val="24"/>
          <w:szCs w:val="24"/>
          <w:lang w:eastAsia="en-GB"/>
        </w:rPr>
      </w:pPr>
      <w:r w:rsidRPr="00F373AF">
        <w:rPr>
          <w:rFonts w:ascii="Helvetica" w:eastAsia="Calibri" w:hAnsi="Helvetica" w:cs="Calibri"/>
          <w:sz w:val="24"/>
          <w:szCs w:val="24"/>
          <w:lang w:eastAsia="en-GB"/>
        </w:rPr>
        <w:t xml:space="preserve">This Policy is to be read in conjunction with the Data Protection Policy and is designed to outline the time period for which </w:t>
      </w:r>
      <w:r w:rsidR="00155C4C" w:rsidRPr="00F373AF">
        <w:rPr>
          <w:rFonts w:ascii="Helvetica" w:hAnsi="Helvetica" w:cs="Calibri"/>
          <w:sz w:val="24"/>
          <w:szCs w:val="24"/>
          <w:lang w:eastAsia="en-GB"/>
        </w:rPr>
        <w:t>we</w:t>
      </w:r>
      <w:r w:rsidR="004219E4" w:rsidRPr="00F373AF">
        <w:rPr>
          <w:rFonts w:ascii="Helvetica" w:hAnsi="Helvetica" w:cs="Calibri"/>
          <w:sz w:val="24"/>
          <w:szCs w:val="24"/>
          <w:lang w:eastAsia="en-GB"/>
        </w:rPr>
        <w:t xml:space="preserve">, </w:t>
      </w:r>
      <w:r w:rsidR="004219E4" w:rsidRPr="00F373AF">
        <w:rPr>
          <w:rFonts w:ascii="Helvetica" w:hAnsi="Helvetica" w:cs="Calibri"/>
          <w:sz w:val="24"/>
          <w:szCs w:val="24"/>
        </w:rPr>
        <w:t>[</w:t>
      </w:r>
      <w:r w:rsidR="004219E4" w:rsidRPr="00F373AF">
        <w:rPr>
          <w:rFonts w:ascii="Helvetica" w:hAnsi="Helvetica" w:cs="Calibri"/>
          <w:sz w:val="24"/>
          <w:szCs w:val="24"/>
          <w:u w:val="single"/>
        </w:rPr>
        <w:t>Church or Presbytery Name</w:t>
      </w:r>
      <w:r w:rsidR="004219E4" w:rsidRPr="00F373AF">
        <w:rPr>
          <w:rFonts w:ascii="Helvetica" w:hAnsi="Helvetica" w:cs="Calibri"/>
          <w:sz w:val="24"/>
          <w:szCs w:val="24"/>
        </w:rPr>
        <w:t>],</w:t>
      </w:r>
      <w:r w:rsidRPr="00F373AF">
        <w:rPr>
          <w:rFonts w:ascii="Helvetica" w:eastAsia="Calibri" w:hAnsi="Helvetica" w:cs="Calibri"/>
          <w:sz w:val="24"/>
          <w:szCs w:val="24"/>
          <w:lang w:eastAsia="en-GB"/>
        </w:rPr>
        <w:t xml:space="preserve"> will hold certain types of data. As noted in the Data Protection Policy it is a legal requirement that personal data is </w:t>
      </w:r>
      <w:r w:rsidRPr="00F373AF">
        <w:rPr>
          <w:rFonts w:ascii="Helvetica" w:hAnsi="Helvetica" w:cs="Calibri"/>
          <w:sz w:val="24"/>
          <w:szCs w:val="24"/>
          <w:lang w:eastAsia="en-GB"/>
        </w:rPr>
        <w:t>not be kept for longer than is necessary.</w:t>
      </w:r>
    </w:p>
    <w:p w14:paraId="68FC2E70" w14:textId="77777777" w:rsidR="00F27022" w:rsidRPr="00F373AF" w:rsidRDefault="00F27022" w:rsidP="00F27022">
      <w:pPr>
        <w:spacing w:line="240" w:lineRule="auto"/>
        <w:rPr>
          <w:rFonts w:ascii="Helvetica" w:hAnsi="Helvetica" w:cs="Calibri"/>
          <w:sz w:val="24"/>
          <w:szCs w:val="24"/>
          <w:lang w:eastAsia="en-GB"/>
        </w:rPr>
      </w:pPr>
    </w:p>
    <w:p w14:paraId="2D8E65DD"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 xml:space="preserve">We are required by law to keep certain records, usually for a specific amount of time. The accidental or intentional destruction of these records during their specified retention periods could result in the following consequences for the presbytery/congregation </w:t>
      </w:r>
      <w:r w:rsidRPr="00F373AF">
        <w:rPr>
          <w:rFonts w:ascii="Helvetica" w:hAnsi="Helvetica" w:cs="Calibri"/>
          <w:color w:val="FF0000"/>
          <w:sz w:val="24"/>
          <w:szCs w:val="24"/>
        </w:rPr>
        <w:t>[delete as appropriate]</w:t>
      </w:r>
      <w:r w:rsidRPr="00F373AF">
        <w:rPr>
          <w:rFonts w:ascii="Helvetica" w:hAnsi="Helvetica" w:cs="Calibri"/>
          <w:color w:val="000000"/>
          <w:sz w:val="24"/>
          <w:szCs w:val="24"/>
        </w:rPr>
        <w:t xml:space="preserve"> including:</w:t>
      </w:r>
    </w:p>
    <w:p w14:paraId="0EA25A69" w14:textId="77777777" w:rsidR="00F27022" w:rsidRPr="00F373AF" w:rsidRDefault="00F27022" w:rsidP="00464868">
      <w:pPr>
        <w:widowControl w:val="0"/>
        <w:numPr>
          <w:ilvl w:val="0"/>
          <w:numId w:val="1"/>
        </w:numPr>
        <w:autoSpaceDE w:val="0"/>
        <w:autoSpaceDN w:val="0"/>
        <w:adjustRightInd w:val="0"/>
        <w:spacing w:before="120" w:after="120" w:line="240" w:lineRule="auto"/>
        <w:ind w:left="476" w:hanging="357"/>
        <w:rPr>
          <w:rFonts w:ascii="Helvetica" w:hAnsi="Helvetica" w:cs="Calibri"/>
          <w:color w:val="000000"/>
          <w:sz w:val="24"/>
          <w:szCs w:val="24"/>
        </w:rPr>
      </w:pPr>
      <w:r w:rsidRPr="00F373AF">
        <w:rPr>
          <w:rFonts w:ascii="Helvetica" w:hAnsi="Helvetica" w:cs="Calibri"/>
          <w:color w:val="000000"/>
          <w:sz w:val="24"/>
          <w:szCs w:val="24"/>
        </w:rPr>
        <w:t>Fines and penalties.</w:t>
      </w:r>
    </w:p>
    <w:p w14:paraId="05733255" w14:textId="77777777" w:rsidR="00F27022" w:rsidRPr="00F373AF" w:rsidRDefault="00F27022" w:rsidP="00464868">
      <w:pPr>
        <w:widowControl w:val="0"/>
        <w:numPr>
          <w:ilvl w:val="0"/>
          <w:numId w:val="2"/>
        </w:numPr>
        <w:autoSpaceDE w:val="0"/>
        <w:autoSpaceDN w:val="0"/>
        <w:adjustRightInd w:val="0"/>
        <w:spacing w:before="120" w:after="120" w:line="240" w:lineRule="auto"/>
        <w:ind w:left="476" w:hanging="357"/>
        <w:rPr>
          <w:rFonts w:ascii="Helvetica" w:hAnsi="Helvetica" w:cs="Calibri"/>
          <w:color w:val="000000"/>
          <w:sz w:val="24"/>
          <w:szCs w:val="24"/>
        </w:rPr>
      </w:pPr>
      <w:r w:rsidRPr="00F373AF">
        <w:rPr>
          <w:rFonts w:ascii="Helvetica" w:hAnsi="Helvetica" w:cs="Calibri"/>
          <w:color w:val="000000"/>
          <w:sz w:val="24"/>
          <w:szCs w:val="24"/>
        </w:rPr>
        <w:t>Civil action.</w:t>
      </w:r>
    </w:p>
    <w:p w14:paraId="2F5EA598" w14:textId="77777777" w:rsidR="00F27022" w:rsidRPr="00F373AF" w:rsidRDefault="00F27022" w:rsidP="00464868">
      <w:pPr>
        <w:widowControl w:val="0"/>
        <w:numPr>
          <w:ilvl w:val="0"/>
          <w:numId w:val="3"/>
        </w:numPr>
        <w:autoSpaceDE w:val="0"/>
        <w:autoSpaceDN w:val="0"/>
        <w:adjustRightInd w:val="0"/>
        <w:spacing w:before="120" w:after="120" w:line="240" w:lineRule="auto"/>
        <w:ind w:left="476" w:hanging="357"/>
        <w:rPr>
          <w:rFonts w:ascii="Helvetica" w:hAnsi="Helvetica" w:cs="Calibri"/>
          <w:color w:val="000000"/>
          <w:sz w:val="24"/>
          <w:szCs w:val="24"/>
        </w:rPr>
      </w:pPr>
      <w:r w:rsidRPr="00F373AF">
        <w:rPr>
          <w:rFonts w:ascii="Helvetica" w:hAnsi="Helvetica" w:cs="Calibri"/>
          <w:color w:val="000000"/>
          <w:sz w:val="24"/>
          <w:szCs w:val="24"/>
        </w:rPr>
        <w:t>Criminal action.</w:t>
      </w:r>
    </w:p>
    <w:p w14:paraId="5D039355" w14:textId="77777777" w:rsidR="00F27022" w:rsidRPr="00F373AF" w:rsidRDefault="00F27022" w:rsidP="00464868">
      <w:pPr>
        <w:widowControl w:val="0"/>
        <w:numPr>
          <w:ilvl w:val="0"/>
          <w:numId w:val="4"/>
        </w:numPr>
        <w:autoSpaceDE w:val="0"/>
        <w:autoSpaceDN w:val="0"/>
        <w:adjustRightInd w:val="0"/>
        <w:spacing w:before="120" w:after="120" w:line="240" w:lineRule="auto"/>
        <w:ind w:left="476" w:hanging="357"/>
        <w:rPr>
          <w:rFonts w:ascii="Helvetica" w:hAnsi="Helvetica" w:cs="Calibri"/>
          <w:color w:val="000000"/>
          <w:sz w:val="24"/>
          <w:szCs w:val="24"/>
        </w:rPr>
      </w:pPr>
      <w:r w:rsidRPr="00F373AF">
        <w:rPr>
          <w:rFonts w:ascii="Helvetica" w:hAnsi="Helvetica" w:cs="Calibri"/>
          <w:color w:val="000000"/>
          <w:sz w:val="24"/>
          <w:szCs w:val="24"/>
        </w:rPr>
        <w:t>Reputational damage.</w:t>
      </w:r>
    </w:p>
    <w:p w14:paraId="6D37F8EC" w14:textId="135B21FA"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r w:rsidRPr="00F373AF">
        <w:rPr>
          <w:rFonts w:ascii="Helvetica" w:hAnsi="Helvetica" w:cs="Calibri"/>
          <w:color w:val="000000"/>
          <w:sz w:val="24"/>
          <w:szCs w:val="24"/>
        </w:rPr>
        <w:t xml:space="preserve">Therefore </w:t>
      </w:r>
      <w:r w:rsidR="00155C4C" w:rsidRPr="00F373AF">
        <w:rPr>
          <w:rFonts w:ascii="Helvetica" w:hAnsi="Helvetica" w:cs="Calibri"/>
          <w:sz w:val="24"/>
          <w:szCs w:val="24"/>
          <w:lang w:eastAsia="en-GB"/>
        </w:rPr>
        <w:t>we</w:t>
      </w:r>
      <w:r w:rsidRPr="00F373AF">
        <w:rPr>
          <w:rFonts w:ascii="Helvetica" w:hAnsi="Helvetica" w:cs="Calibri"/>
          <w:sz w:val="24"/>
          <w:szCs w:val="24"/>
          <w:lang w:eastAsia="en-GB"/>
        </w:rPr>
        <w:t xml:space="preserve"> </w:t>
      </w:r>
      <w:r w:rsidRPr="00F373AF">
        <w:rPr>
          <w:rFonts w:ascii="Helvetica" w:hAnsi="Helvetica" w:cs="Calibri"/>
          <w:color w:val="000000"/>
          <w:sz w:val="24"/>
          <w:szCs w:val="24"/>
        </w:rPr>
        <w:t xml:space="preserve">prohibit the inappropriate destruction of any records, files, documents, samples, and other forms of information. </w:t>
      </w:r>
      <w:r w:rsidR="002C6DF9" w:rsidRPr="00F373AF">
        <w:rPr>
          <w:rFonts w:ascii="Helvetica" w:hAnsi="Helvetica" w:cs="Calibri"/>
          <w:color w:val="000000"/>
          <w:sz w:val="24"/>
          <w:szCs w:val="24"/>
        </w:rPr>
        <w:t>T</w:t>
      </w:r>
      <w:r w:rsidRPr="00F373AF">
        <w:rPr>
          <w:rFonts w:ascii="Helvetica" w:hAnsi="Helvetica" w:cs="Calibri"/>
          <w:color w:val="000000"/>
          <w:sz w:val="24"/>
          <w:szCs w:val="24"/>
        </w:rPr>
        <w:t xml:space="preserve">his Policy is part of a presbytery/congregation </w:t>
      </w:r>
      <w:r w:rsidRPr="00F373AF">
        <w:rPr>
          <w:rFonts w:ascii="Helvetica" w:hAnsi="Helvetica" w:cs="Calibri"/>
          <w:color w:val="FF0000"/>
          <w:sz w:val="24"/>
          <w:szCs w:val="24"/>
        </w:rPr>
        <w:t xml:space="preserve">[delete as appropriate] </w:t>
      </w:r>
      <w:r w:rsidRPr="00F373AF">
        <w:rPr>
          <w:rFonts w:ascii="Helvetica" w:hAnsi="Helvetica" w:cs="Calibri"/>
          <w:color w:val="000000"/>
          <w:sz w:val="24"/>
          <w:szCs w:val="24"/>
        </w:rPr>
        <w:t xml:space="preserve">-wide system for the review, retention, and destruction of records </w:t>
      </w:r>
      <w:r w:rsidR="00155C4C" w:rsidRPr="00F373AF">
        <w:rPr>
          <w:rFonts w:ascii="Helvetica" w:hAnsi="Helvetica" w:cs="Calibri"/>
          <w:color w:val="000000"/>
          <w:sz w:val="24"/>
          <w:szCs w:val="24"/>
        </w:rPr>
        <w:t xml:space="preserve">we </w:t>
      </w:r>
      <w:r w:rsidRPr="00F373AF">
        <w:rPr>
          <w:rFonts w:ascii="Helvetica" w:hAnsi="Helvetica" w:cs="Calibri"/>
          <w:color w:val="000000"/>
          <w:sz w:val="24"/>
          <w:szCs w:val="24"/>
        </w:rPr>
        <w:t xml:space="preserve">create or receive in connection with the activities </w:t>
      </w:r>
      <w:r w:rsidR="00155C4C" w:rsidRPr="00F373AF">
        <w:rPr>
          <w:rFonts w:ascii="Helvetica" w:hAnsi="Helvetica" w:cs="Calibri"/>
          <w:color w:val="000000"/>
          <w:sz w:val="24"/>
          <w:szCs w:val="24"/>
        </w:rPr>
        <w:t>we</w:t>
      </w:r>
      <w:r w:rsidRPr="00F373AF">
        <w:rPr>
          <w:rFonts w:ascii="Helvetica" w:hAnsi="Helvetica" w:cs="Calibri"/>
          <w:color w:val="000000"/>
          <w:sz w:val="24"/>
          <w:szCs w:val="24"/>
        </w:rPr>
        <w:t xml:space="preserve"> conduct.</w:t>
      </w:r>
    </w:p>
    <w:p w14:paraId="175555CC" w14:textId="77777777"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p>
    <w:p w14:paraId="3FC9217E"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rPr>
        <w:t>TYPES OF DOCUMENTS</w:t>
      </w:r>
      <w:r w:rsidRPr="00F373AF">
        <w:rPr>
          <w:rFonts w:ascii="Helvetica" w:hAnsi="Helvetica" w:cs="Calibri"/>
          <w:color w:val="000000"/>
          <w:sz w:val="24"/>
          <w:szCs w:val="24"/>
        </w:rPr>
        <w:t>  </w:t>
      </w:r>
    </w:p>
    <w:p w14:paraId="2216A2F6"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59767615"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This Policy explains the differences among records, disposable information, and confidential information belonging to others.</w:t>
      </w:r>
    </w:p>
    <w:p w14:paraId="309CDEBE"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 </w:t>
      </w:r>
    </w:p>
    <w:p w14:paraId="0D19F412" w14:textId="54E9A103"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Records</w:t>
      </w:r>
      <w:r w:rsidRPr="00F373AF">
        <w:rPr>
          <w:rFonts w:ascii="Helvetica" w:hAnsi="Helvetica" w:cs="Calibri"/>
          <w:color w:val="000000"/>
          <w:sz w:val="24"/>
          <w:szCs w:val="24"/>
        </w:rPr>
        <w:t xml:space="preserve">. A record is any type of information created, received, or transmitted in the transaction of </w:t>
      </w:r>
      <w:r w:rsidR="00155C4C" w:rsidRPr="00F373AF">
        <w:rPr>
          <w:rFonts w:ascii="Helvetica" w:hAnsi="Helvetica" w:cs="Calibri"/>
          <w:color w:val="000000"/>
          <w:sz w:val="24"/>
          <w:szCs w:val="24"/>
        </w:rPr>
        <w:t>our</w:t>
      </w:r>
      <w:r w:rsidRPr="00F373AF">
        <w:rPr>
          <w:rFonts w:ascii="Helvetica" w:hAnsi="Helvetica" w:cs="Calibri"/>
          <w:color w:val="000000"/>
          <w:sz w:val="24"/>
          <w:szCs w:val="24"/>
        </w:rPr>
        <w:t xml:space="preserve"> </w:t>
      </w:r>
      <w:r w:rsidR="001101BC" w:rsidRPr="00F373AF">
        <w:rPr>
          <w:rFonts w:ascii="Helvetica" w:hAnsi="Helvetica" w:cs="Calibri"/>
          <w:color w:val="000000"/>
          <w:sz w:val="24"/>
          <w:szCs w:val="24"/>
        </w:rPr>
        <w:t>activities</w:t>
      </w:r>
      <w:r w:rsidRPr="00F373AF">
        <w:rPr>
          <w:rFonts w:ascii="Helvetica" w:hAnsi="Helvetica" w:cs="Calibri"/>
          <w:color w:val="000000"/>
          <w:sz w:val="24"/>
          <w:szCs w:val="24"/>
        </w:rPr>
        <w:t>, regardless of physical format. Examples of where the various types of information are located include:</w:t>
      </w:r>
    </w:p>
    <w:p w14:paraId="37B5103C"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 </w:t>
      </w:r>
    </w:p>
    <w:p w14:paraId="383CA264" w14:textId="77777777" w:rsidR="00F27022" w:rsidRPr="00F373AF" w:rsidRDefault="00F27022" w:rsidP="00F27022">
      <w:pPr>
        <w:widowControl w:val="0"/>
        <w:numPr>
          <w:ilvl w:val="0"/>
          <w:numId w:val="5"/>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Appointment books and calendars.</w:t>
      </w:r>
    </w:p>
    <w:p w14:paraId="092EB2F1" w14:textId="77777777" w:rsidR="00F27022" w:rsidRPr="00F373AF" w:rsidRDefault="00F27022" w:rsidP="00F27022">
      <w:pPr>
        <w:widowControl w:val="0"/>
        <w:numPr>
          <w:ilvl w:val="0"/>
          <w:numId w:val="6"/>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Audio and video recordings.</w:t>
      </w:r>
    </w:p>
    <w:p w14:paraId="5F938E82" w14:textId="77777777" w:rsidR="00F27022" w:rsidRPr="00F373AF" w:rsidRDefault="00F27022" w:rsidP="00F27022">
      <w:pPr>
        <w:widowControl w:val="0"/>
        <w:numPr>
          <w:ilvl w:val="0"/>
          <w:numId w:val="7"/>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Computer programs.</w:t>
      </w:r>
    </w:p>
    <w:p w14:paraId="3ACEEB97" w14:textId="77777777" w:rsidR="00F27022" w:rsidRPr="00F373AF" w:rsidRDefault="00F27022" w:rsidP="00F27022">
      <w:pPr>
        <w:widowControl w:val="0"/>
        <w:numPr>
          <w:ilvl w:val="0"/>
          <w:numId w:val="8"/>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Contracts.</w:t>
      </w:r>
    </w:p>
    <w:p w14:paraId="2F30DBF2" w14:textId="77777777" w:rsidR="00F27022" w:rsidRPr="00F373AF" w:rsidRDefault="00F27022" w:rsidP="00F27022">
      <w:pPr>
        <w:widowControl w:val="0"/>
        <w:numPr>
          <w:ilvl w:val="0"/>
          <w:numId w:val="9"/>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Electronic files.</w:t>
      </w:r>
    </w:p>
    <w:p w14:paraId="00728F76" w14:textId="77777777" w:rsidR="00F27022" w:rsidRPr="00F373AF" w:rsidRDefault="00F27022" w:rsidP="00F27022">
      <w:pPr>
        <w:widowControl w:val="0"/>
        <w:numPr>
          <w:ilvl w:val="0"/>
          <w:numId w:val="10"/>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Emails.</w:t>
      </w:r>
    </w:p>
    <w:p w14:paraId="45F64C5A" w14:textId="77777777" w:rsidR="00F27022" w:rsidRPr="00F373AF" w:rsidRDefault="00F27022" w:rsidP="00F27022">
      <w:pPr>
        <w:widowControl w:val="0"/>
        <w:numPr>
          <w:ilvl w:val="0"/>
          <w:numId w:val="11"/>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Handwritten notes.</w:t>
      </w:r>
    </w:p>
    <w:p w14:paraId="14DBF22A" w14:textId="77777777" w:rsidR="00F27022" w:rsidRPr="00F373AF" w:rsidRDefault="00F27022" w:rsidP="00F27022">
      <w:pPr>
        <w:widowControl w:val="0"/>
        <w:numPr>
          <w:ilvl w:val="0"/>
          <w:numId w:val="12"/>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Invoices.</w:t>
      </w:r>
    </w:p>
    <w:p w14:paraId="54E5EF8D" w14:textId="77777777" w:rsidR="00F27022" w:rsidRPr="00F373AF" w:rsidRDefault="00F27022" w:rsidP="00F27022">
      <w:pPr>
        <w:widowControl w:val="0"/>
        <w:numPr>
          <w:ilvl w:val="0"/>
          <w:numId w:val="13"/>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Letters and other correspondence.</w:t>
      </w:r>
    </w:p>
    <w:p w14:paraId="3E76B889" w14:textId="0E11F612" w:rsidR="00F27022" w:rsidRPr="00F373AF" w:rsidRDefault="00F27022" w:rsidP="00F27022">
      <w:pPr>
        <w:widowControl w:val="0"/>
        <w:numPr>
          <w:ilvl w:val="0"/>
          <w:numId w:val="15"/>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Memory in mobile phones</w:t>
      </w:r>
      <w:r w:rsidR="00155C4C" w:rsidRPr="00F373AF">
        <w:rPr>
          <w:rFonts w:ascii="Helvetica" w:hAnsi="Helvetica" w:cs="Calibri"/>
          <w:color w:val="000000"/>
          <w:sz w:val="24"/>
          <w:szCs w:val="24"/>
        </w:rPr>
        <w:t>, tablets, laptops and any other portable electronic device</w:t>
      </w:r>
      <w:r w:rsidRPr="00F373AF">
        <w:rPr>
          <w:rFonts w:ascii="Helvetica" w:hAnsi="Helvetica" w:cs="Calibri"/>
          <w:color w:val="000000"/>
          <w:sz w:val="24"/>
          <w:szCs w:val="24"/>
        </w:rPr>
        <w:t>.</w:t>
      </w:r>
    </w:p>
    <w:p w14:paraId="6B9229B9" w14:textId="77777777" w:rsidR="00F27022" w:rsidRPr="00F373AF" w:rsidRDefault="00F27022" w:rsidP="00F27022">
      <w:pPr>
        <w:widowControl w:val="0"/>
        <w:numPr>
          <w:ilvl w:val="0"/>
          <w:numId w:val="16"/>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Online postings.</w:t>
      </w:r>
    </w:p>
    <w:p w14:paraId="615782C2" w14:textId="77777777" w:rsidR="00F27022" w:rsidRPr="00F373AF" w:rsidRDefault="00F27022" w:rsidP="00F27022">
      <w:pPr>
        <w:widowControl w:val="0"/>
        <w:numPr>
          <w:ilvl w:val="0"/>
          <w:numId w:val="17"/>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Performance reviews.</w:t>
      </w:r>
    </w:p>
    <w:p w14:paraId="754043AF" w14:textId="77777777" w:rsidR="00F27022" w:rsidRPr="00F373AF" w:rsidRDefault="00F27022" w:rsidP="00F27022">
      <w:pPr>
        <w:widowControl w:val="0"/>
        <w:numPr>
          <w:ilvl w:val="0"/>
          <w:numId w:val="18"/>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Test samples.</w:t>
      </w:r>
    </w:p>
    <w:p w14:paraId="3D719067" w14:textId="09381165" w:rsidR="00F27022" w:rsidRPr="00F373AF" w:rsidRDefault="00F27022" w:rsidP="00F27022">
      <w:pPr>
        <w:widowControl w:val="0"/>
        <w:numPr>
          <w:ilvl w:val="0"/>
          <w:numId w:val="19"/>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Voicemails.</w:t>
      </w:r>
    </w:p>
    <w:p w14:paraId="48BD94C3" w14:textId="77777777"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r w:rsidRPr="00F373AF">
        <w:rPr>
          <w:rFonts w:ascii="Helvetica" w:hAnsi="Helvetica" w:cs="Calibri"/>
          <w:color w:val="000000"/>
          <w:sz w:val="24"/>
          <w:szCs w:val="24"/>
        </w:rPr>
        <w:t>Therefore, any paper records and electronic files, including any records of donations made online, that are part of any of the categories listed in the Records Retention Schedule contained in the Appendix to this Policy, are be retained for the amount of time indicated in the Records Retention Schedule or such other time as is necessary in the circumstances. A record must not be retained beyond the period indicated in the Record Retention Schedule</w:t>
      </w:r>
      <w:r w:rsidRPr="00F373AF">
        <w:rPr>
          <w:rFonts w:ascii="Helvetica" w:hAnsi="Helvetica" w:cs="Calibri"/>
          <w:b/>
          <w:color w:val="000000"/>
          <w:sz w:val="24"/>
          <w:szCs w:val="24"/>
        </w:rPr>
        <w:t>, unles</w:t>
      </w:r>
      <w:r w:rsidR="00614703" w:rsidRPr="00F373AF">
        <w:rPr>
          <w:rFonts w:ascii="Helvetica" w:hAnsi="Helvetica" w:cs="Calibri"/>
          <w:b/>
          <w:color w:val="000000"/>
          <w:sz w:val="24"/>
          <w:szCs w:val="24"/>
        </w:rPr>
        <w:t>s a valid</w:t>
      </w:r>
      <w:r w:rsidRPr="00F373AF">
        <w:rPr>
          <w:rFonts w:ascii="Helvetica" w:hAnsi="Helvetica" w:cs="Calibri"/>
          <w:b/>
          <w:color w:val="000000"/>
          <w:sz w:val="24"/>
          <w:szCs w:val="24"/>
        </w:rPr>
        <w:t xml:space="preserve"> reason (or there is potential for litigation or other special situation) or specific legal requirement calls for its continued retention</w:t>
      </w:r>
      <w:r w:rsidRPr="00F373AF">
        <w:rPr>
          <w:rFonts w:ascii="Helvetica" w:hAnsi="Helvetica" w:cs="Calibri"/>
          <w:color w:val="000000"/>
          <w:sz w:val="24"/>
          <w:szCs w:val="24"/>
        </w:rPr>
        <w:t>. If you are unsure whether to retain a certain record, contact the Data Protection Lead.</w:t>
      </w:r>
    </w:p>
    <w:p w14:paraId="2C00D269" w14:textId="77777777"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p>
    <w:p w14:paraId="051FFDBA" w14:textId="5A8BF3F3"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Disposable Information</w:t>
      </w:r>
      <w:r w:rsidRPr="00F373AF">
        <w:rPr>
          <w:rFonts w:ascii="Helvetica" w:hAnsi="Helvetica" w:cs="Calibri"/>
          <w:color w:val="000000"/>
          <w:sz w:val="24"/>
          <w:szCs w:val="24"/>
        </w:rPr>
        <w:t>. Disposable information consists of data that may be discarded or deleted at the discretion of the user once it has served its temporary useful purpose and/or data that may be safely destroyed because it is not a record as defined by this Policy. Examples may include:</w:t>
      </w:r>
    </w:p>
    <w:p w14:paraId="37558171" w14:textId="77777777" w:rsidR="00F27022" w:rsidRPr="00F373AF" w:rsidRDefault="00F27022" w:rsidP="00F27022">
      <w:pPr>
        <w:widowControl w:val="0"/>
        <w:numPr>
          <w:ilvl w:val="0"/>
          <w:numId w:val="20"/>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Duplicates of originals that have not been annotated.</w:t>
      </w:r>
    </w:p>
    <w:p w14:paraId="6653A0B8" w14:textId="77777777" w:rsidR="00F27022" w:rsidRPr="00F373AF" w:rsidRDefault="00F27022" w:rsidP="00F27022">
      <w:pPr>
        <w:widowControl w:val="0"/>
        <w:numPr>
          <w:ilvl w:val="0"/>
          <w:numId w:val="21"/>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Preliminary drafts of letters, memoranda, reports, worksheets, and informal notes that do not represent significant steps or decisions in the preparation of an official record.</w:t>
      </w:r>
    </w:p>
    <w:p w14:paraId="3149966D" w14:textId="77777777" w:rsidR="00F27022" w:rsidRPr="00F373AF" w:rsidRDefault="00F27022" w:rsidP="00F27022">
      <w:pPr>
        <w:widowControl w:val="0"/>
        <w:numPr>
          <w:ilvl w:val="0"/>
          <w:numId w:val="22"/>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Books, periodicals, manuals, training binders, and other printed materials obtained from sources outside of the Organisation and retained primarily for reference purposes.</w:t>
      </w:r>
    </w:p>
    <w:p w14:paraId="6F1C966E" w14:textId="77777777" w:rsidR="00F27022" w:rsidRPr="00F373AF" w:rsidRDefault="00F27022" w:rsidP="00F27022">
      <w:pPr>
        <w:widowControl w:val="0"/>
        <w:numPr>
          <w:ilvl w:val="0"/>
          <w:numId w:val="23"/>
        </w:numPr>
        <w:autoSpaceDE w:val="0"/>
        <w:autoSpaceDN w:val="0"/>
        <w:adjustRightInd w:val="0"/>
        <w:spacing w:before="200" w:after="240" w:line="240" w:lineRule="auto"/>
        <w:ind w:left="480" w:hanging="360"/>
        <w:rPr>
          <w:rFonts w:ascii="Helvetica" w:hAnsi="Helvetica" w:cs="Calibri"/>
          <w:color w:val="000000"/>
          <w:sz w:val="24"/>
          <w:szCs w:val="24"/>
        </w:rPr>
      </w:pPr>
      <w:r w:rsidRPr="00F373AF">
        <w:rPr>
          <w:rFonts w:ascii="Helvetica" w:hAnsi="Helvetica" w:cs="Calibri"/>
          <w:color w:val="000000"/>
          <w:sz w:val="24"/>
          <w:szCs w:val="24"/>
        </w:rPr>
        <w:t>Spam and junk mail.</w:t>
      </w:r>
    </w:p>
    <w:p w14:paraId="36C3FB10" w14:textId="0FC4BB20"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Confidential Information Belonging to Others</w:t>
      </w:r>
      <w:r w:rsidRPr="00F373AF">
        <w:rPr>
          <w:rFonts w:ascii="Helvetica" w:hAnsi="Helvetica" w:cs="Calibri"/>
          <w:color w:val="000000"/>
          <w:sz w:val="24"/>
          <w:szCs w:val="24"/>
        </w:rPr>
        <w:t xml:space="preserve">. Any confidential information that an employee may have obtained from a source outside of the </w:t>
      </w:r>
      <w:r w:rsidR="00614703" w:rsidRPr="00F373AF">
        <w:rPr>
          <w:rFonts w:ascii="Helvetica" w:hAnsi="Helvetica" w:cs="Calibri"/>
          <w:color w:val="000000"/>
          <w:sz w:val="24"/>
          <w:szCs w:val="24"/>
        </w:rPr>
        <w:t xml:space="preserve">presbytery/congregation </w:t>
      </w:r>
      <w:r w:rsidR="00614703" w:rsidRPr="00F373AF">
        <w:rPr>
          <w:rFonts w:ascii="Helvetica" w:hAnsi="Helvetica" w:cs="Calibri"/>
          <w:color w:val="FF0000"/>
          <w:sz w:val="24"/>
          <w:szCs w:val="24"/>
        </w:rPr>
        <w:t>[delete as appropriate]</w:t>
      </w:r>
      <w:r w:rsidRPr="00F373AF">
        <w:rPr>
          <w:rFonts w:ascii="Helvetica" w:hAnsi="Helvetica" w:cs="Calibri"/>
          <w:color w:val="000000"/>
          <w:sz w:val="24"/>
          <w:szCs w:val="24"/>
        </w:rPr>
        <w:t xml:space="preserve">, such as a previous employer, must not, so long as such information remains confidential, be disclosed to or used by </w:t>
      </w:r>
      <w:r w:rsidR="00155C4C" w:rsidRPr="00F373AF">
        <w:rPr>
          <w:rFonts w:ascii="Helvetica" w:hAnsi="Helvetica" w:cs="Calibri"/>
          <w:color w:val="000000"/>
          <w:sz w:val="24"/>
          <w:szCs w:val="24"/>
        </w:rPr>
        <w:t>us</w:t>
      </w:r>
      <w:r w:rsidRPr="00F373AF">
        <w:rPr>
          <w:rFonts w:ascii="Helvetica" w:hAnsi="Helvetica" w:cs="Calibri"/>
          <w:color w:val="000000"/>
          <w:sz w:val="24"/>
          <w:szCs w:val="24"/>
        </w:rPr>
        <w:t>. Unsolicited confidential information submitted to</w:t>
      </w:r>
      <w:r w:rsidR="003A48D8" w:rsidRPr="00F373AF">
        <w:rPr>
          <w:rFonts w:ascii="Helvetica" w:hAnsi="Helvetica" w:cs="Calibri"/>
          <w:color w:val="FF0000"/>
          <w:sz w:val="24"/>
          <w:szCs w:val="24"/>
        </w:rPr>
        <w:t xml:space="preserve"> </w:t>
      </w:r>
      <w:r w:rsidR="003A48D8" w:rsidRPr="00F373AF">
        <w:rPr>
          <w:rFonts w:ascii="Helvetica" w:hAnsi="Helvetica" w:cs="Calibri"/>
          <w:sz w:val="24"/>
          <w:szCs w:val="24"/>
        </w:rPr>
        <w:t>us</w:t>
      </w:r>
      <w:r w:rsidRPr="00F373AF">
        <w:rPr>
          <w:rFonts w:ascii="Helvetica" w:hAnsi="Helvetica" w:cs="Calibri"/>
          <w:color w:val="FF0000"/>
          <w:sz w:val="24"/>
          <w:szCs w:val="24"/>
        </w:rPr>
        <w:t xml:space="preserve"> </w:t>
      </w:r>
      <w:r w:rsidRPr="00F373AF">
        <w:rPr>
          <w:rFonts w:ascii="Helvetica" w:hAnsi="Helvetica" w:cs="Calibri"/>
          <w:color w:val="000000"/>
          <w:sz w:val="24"/>
          <w:szCs w:val="24"/>
        </w:rPr>
        <w:t>should be refused, returned to the sender where possible, and deleted, if received via the internet.</w:t>
      </w:r>
    </w:p>
    <w:p w14:paraId="17836D75" w14:textId="77777777" w:rsidR="00F27022" w:rsidRPr="00F373AF" w:rsidRDefault="00F27022" w:rsidP="00F27022">
      <w:pPr>
        <w:widowControl w:val="0"/>
        <w:autoSpaceDE w:val="0"/>
        <w:autoSpaceDN w:val="0"/>
        <w:adjustRightInd w:val="0"/>
        <w:spacing w:before="200" w:line="240" w:lineRule="auto"/>
        <w:jc w:val="both"/>
        <w:rPr>
          <w:rFonts w:ascii="Helvetica" w:hAnsi="Helvetica" w:cs="Calibri"/>
          <w:color w:val="000000"/>
          <w:sz w:val="24"/>
          <w:szCs w:val="24"/>
        </w:rPr>
      </w:pPr>
    </w:p>
    <w:p w14:paraId="280AD069"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rPr>
        <w:t>MANDATORY COMPLIANCE</w:t>
      </w:r>
      <w:r w:rsidRPr="00F373AF">
        <w:rPr>
          <w:rFonts w:ascii="Helvetica" w:hAnsi="Helvetica" w:cs="Calibri"/>
          <w:color w:val="000000"/>
          <w:sz w:val="24"/>
          <w:szCs w:val="24"/>
        </w:rPr>
        <w:t>  </w:t>
      </w:r>
    </w:p>
    <w:p w14:paraId="41EA1ABF"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4D10D99E" w14:textId="2A3331CA"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Responsibility of All Employees</w:t>
      </w:r>
      <w:r w:rsidR="00614703" w:rsidRPr="00F373AF">
        <w:rPr>
          <w:rFonts w:ascii="Helvetica" w:hAnsi="Helvetica" w:cs="Calibri"/>
          <w:b/>
          <w:bCs/>
          <w:color w:val="000000"/>
          <w:sz w:val="24"/>
          <w:szCs w:val="24"/>
          <w:u w:val="single"/>
        </w:rPr>
        <w:t xml:space="preserve"> and Volunteers</w:t>
      </w:r>
      <w:r w:rsidRPr="00F373AF">
        <w:rPr>
          <w:rFonts w:ascii="Helvetica" w:hAnsi="Helvetica" w:cs="Calibri"/>
          <w:color w:val="000000"/>
          <w:sz w:val="24"/>
          <w:szCs w:val="24"/>
        </w:rPr>
        <w:t xml:space="preserve">. We strive to comply with the laws, rules, and regulations that govern </w:t>
      </w:r>
      <w:r w:rsidR="00D72F1F" w:rsidRPr="00F373AF">
        <w:rPr>
          <w:rFonts w:ascii="Helvetica" w:hAnsi="Helvetica" w:cs="Calibri"/>
          <w:color w:val="000000"/>
          <w:sz w:val="24"/>
          <w:szCs w:val="24"/>
        </w:rPr>
        <w:t xml:space="preserve">compliance </w:t>
      </w:r>
      <w:r w:rsidRPr="00F373AF">
        <w:rPr>
          <w:rFonts w:ascii="Helvetica" w:hAnsi="Helvetica" w:cs="Calibri"/>
          <w:color w:val="000000"/>
          <w:sz w:val="24"/>
          <w:szCs w:val="24"/>
        </w:rPr>
        <w:t xml:space="preserve">and with recognised compliance practices. All </w:t>
      </w:r>
      <w:r w:rsidR="00614703" w:rsidRPr="00F373AF">
        <w:rPr>
          <w:rFonts w:ascii="Helvetica" w:hAnsi="Helvetica" w:cs="Calibri"/>
          <w:color w:val="000000"/>
          <w:sz w:val="24"/>
          <w:szCs w:val="24"/>
        </w:rPr>
        <w:t xml:space="preserve">presbytery/congregation </w:t>
      </w:r>
      <w:r w:rsidR="00614703" w:rsidRPr="00F373AF">
        <w:rPr>
          <w:rFonts w:ascii="Helvetica" w:hAnsi="Helvetica" w:cs="Calibri"/>
          <w:color w:val="FF0000"/>
          <w:sz w:val="24"/>
          <w:szCs w:val="24"/>
        </w:rPr>
        <w:t>[delete as appropriate]</w:t>
      </w:r>
      <w:r w:rsidRPr="00F373AF">
        <w:rPr>
          <w:rFonts w:ascii="Helvetica" w:hAnsi="Helvetica" w:cs="Calibri"/>
          <w:color w:val="FF0000"/>
          <w:sz w:val="24"/>
          <w:szCs w:val="24"/>
        </w:rPr>
        <w:t xml:space="preserve"> </w:t>
      </w:r>
      <w:r w:rsidRPr="00F373AF">
        <w:rPr>
          <w:rFonts w:ascii="Helvetica" w:hAnsi="Helvetica" w:cs="Calibri"/>
          <w:color w:val="000000"/>
          <w:sz w:val="24"/>
          <w:szCs w:val="24"/>
        </w:rPr>
        <w:t>employees</w:t>
      </w:r>
      <w:r w:rsidR="00614703" w:rsidRPr="00F373AF">
        <w:rPr>
          <w:rFonts w:ascii="Helvetica" w:hAnsi="Helvetica" w:cs="Calibri"/>
          <w:color w:val="000000"/>
          <w:sz w:val="24"/>
          <w:szCs w:val="24"/>
        </w:rPr>
        <w:t xml:space="preserve"> and volunteers</w:t>
      </w:r>
      <w:r w:rsidRPr="00F373AF">
        <w:rPr>
          <w:rFonts w:ascii="Helvetica" w:hAnsi="Helvetica" w:cs="Calibri"/>
          <w:color w:val="000000"/>
          <w:sz w:val="24"/>
          <w:szCs w:val="24"/>
        </w:rPr>
        <w:t xml:space="preserve"> must comply with this Policy and the Records Retention Schedule. Failure to do so may subject the </w:t>
      </w:r>
      <w:r w:rsidR="00614703" w:rsidRPr="00F373AF">
        <w:rPr>
          <w:rFonts w:ascii="Helvetica" w:hAnsi="Helvetica" w:cs="Calibri"/>
          <w:color w:val="000000"/>
          <w:sz w:val="24"/>
          <w:szCs w:val="24"/>
        </w:rPr>
        <w:t xml:space="preserve">presbytery/congregation </w:t>
      </w:r>
      <w:r w:rsidR="00614703" w:rsidRPr="00F373AF">
        <w:rPr>
          <w:rFonts w:ascii="Helvetica" w:hAnsi="Helvetica" w:cs="Calibri"/>
          <w:color w:val="FF0000"/>
          <w:sz w:val="24"/>
          <w:szCs w:val="24"/>
        </w:rPr>
        <w:t>[delete as appropriate]</w:t>
      </w:r>
      <w:r w:rsidR="00614703" w:rsidRPr="00F373AF">
        <w:rPr>
          <w:rFonts w:ascii="Helvetica" w:hAnsi="Helvetica" w:cs="Calibri"/>
          <w:color w:val="000000"/>
          <w:sz w:val="24"/>
          <w:szCs w:val="24"/>
        </w:rPr>
        <w:t>, its employees,</w:t>
      </w:r>
      <w:r w:rsidRPr="00F373AF">
        <w:rPr>
          <w:rFonts w:ascii="Helvetica" w:hAnsi="Helvetica" w:cs="Calibri"/>
          <w:color w:val="000000"/>
          <w:sz w:val="24"/>
          <w:szCs w:val="24"/>
        </w:rPr>
        <w:t xml:space="preserve"> contract staff</w:t>
      </w:r>
      <w:r w:rsidR="00614703" w:rsidRPr="00F373AF">
        <w:rPr>
          <w:rFonts w:ascii="Helvetica" w:hAnsi="Helvetica" w:cs="Calibri"/>
          <w:color w:val="000000"/>
          <w:sz w:val="24"/>
          <w:szCs w:val="24"/>
        </w:rPr>
        <w:t xml:space="preserve"> and volunteers</w:t>
      </w:r>
      <w:r w:rsidRPr="00F373AF">
        <w:rPr>
          <w:rFonts w:ascii="Helvetica" w:hAnsi="Helvetica" w:cs="Calibri"/>
          <w:color w:val="000000"/>
          <w:sz w:val="24"/>
          <w:szCs w:val="24"/>
        </w:rPr>
        <w:t xml:space="preserve"> to serious civil and/or criminal liability. An employee’s failure to comply with this Policy may result in disciplinary sanctions, including suspension or termination.</w:t>
      </w:r>
    </w:p>
    <w:p w14:paraId="1A796023"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 </w:t>
      </w:r>
    </w:p>
    <w:p w14:paraId="3D69DB1C" w14:textId="20DF0888"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Reporting Policy Violations</w:t>
      </w:r>
      <w:r w:rsidRPr="00F373AF">
        <w:rPr>
          <w:rFonts w:ascii="Helvetica" w:hAnsi="Helvetica" w:cs="Calibri"/>
          <w:color w:val="000000"/>
          <w:sz w:val="24"/>
          <w:szCs w:val="24"/>
        </w:rPr>
        <w:t xml:space="preserve">. We are committed to enforcing this Policy as it applies to all forms of records. The effectiveness of </w:t>
      </w:r>
      <w:r w:rsidR="003A48D8" w:rsidRPr="00F373AF">
        <w:rPr>
          <w:rFonts w:ascii="Helvetica" w:hAnsi="Helvetica" w:cs="Calibri"/>
          <w:color w:val="000000"/>
          <w:sz w:val="24"/>
          <w:szCs w:val="24"/>
        </w:rPr>
        <w:t>our</w:t>
      </w:r>
      <w:r w:rsidRPr="00F373AF">
        <w:rPr>
          <w:rFonts w:ascii="Helvetica" w:hAnsi="Helvetica" w:cs="Calibri"/>
          <w:color w:val="000000"/>
          <w:sz w:val="24"/>
          <w:szCs w:val="24"/>
        </w:rPr>
        <w:t xml:space="preserve"> efforts, however, depends largely on employees</w:t>
      </w:r>
      <w:r w:rsidR="00614703" w:rsidRPr="00F373AF">
        <w:rPr>
          <w:rFonts w:ascii="Helvetica" w:hAnsi="Helvetica" w:cs="Calibri"/>
          <w:color w:val="000000"/>
          <w:sz w:val="24"/>
          <w:szCs w:val="24"/>
        </w:rPr>
        <w:t xml:space="preserve"> and volunteers</w:t>
      </w:r>
      <w:r w:rsidRPr="00F373AF">
        <w:rPr>
          <w:rFonts w:ascii="Helvetica" w:hAnsi="Helvetica" w:cs="Calibri"/>
          <w:color w:val="000000"/>
          <w:sz w:val="24"/>
          <w:szCs w:val="24"/>
        </w:rPr>
        <w:t>. If you feel that you or someon</w:t>
      </w:r>
      <w:r w:rsidR="00614703" w:rsidRPr="00F373AF">
        <w:rPr>
          <w:rFonts w:ascii="Helvetica" w:hAnsi="Helvetica" w:cs="Calibri"/>
          <w:color w:val="000000"/>
          <w:sz w:val="24"/>
          <w:szCs w:val="24"/>
        </w:rPr>
        <w:t>e else may have violated this P</w:t>
      </w:r>
      <w:r w:rsidRPr="00F373AF">
        <w:rPr>
          <w:rFonts w:ascii="Helvetica" w:hAnsi="Helvetica" w:cs="Calibri"/>
          <w:color w:val="000000"/>
          <w:sz w:val="24"/>
          <w:szCs w:val="24"/>
        </w:rPr>
        <w:t>olicy, you should report the incident immediately to</w:t>
      </w:r>
      <w:r w:rsidR="00614703" w:rsidRPr="00F373AF">
        <w:rPr>
          <w:rFonts w:ascii="Helvetica" w:hAnsi="Helvetica" w:cs="Calibri"/>
          <w:color w:val="000000"/>
          <w:sz w:val="24"/>
          <w:szCs w:val="24"/>
        </w:rPr>
        <w:t xml:space="preserve"> the Data Protection Lead</w:t>
      </w:r>
      <w:r w:rsidRPr="00F373AF">
        <w:rPr>
          <w:rFonts w:ascii="Helvetica" w:hAnsi="Helvetica" w:cs="Calibri"/>
          <w:color w:val="000000"/>
          <w:sz w:val="24"/>
          <w:szCs w:val="24"/>
        </w:rPr>
        <w:t>.</w:t>
      </w:r>
    </w:p>
    <w:p w14:paraId="21078416"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3862FB56" w14:textId="68ED8168" w:rsidR="00F27022" w:rsidRPr="00F373AF" w:rsidRDefault="00F27022" w:rsidP="00D72F1F">
      <w:pPr>
        <w:widowControl w:val="0"/>
        <w:autoSpaceDE w:val="0"/>
        <w:autoSpaceDN w:val="0"/>
        <w:adjustRightInd w:val="0"/>
        <w:spacing w:before="200" w:after="360" w:line="240" w:lineRule="auto"/>
        <w:jc w:val="both"/>
        <w:rPr>
          <w:rFonts w:ascii="Helvetica" w:hAnsi="Helvetica" w:cs="Calibri"/>
          <w:color w:val="000000"/>
          <w:sz w:val="24"/>
          <w:szCs w:val="24"/>
        </w:rPr>
      </w:pPr>
      <w:r w:rsidRPr="00F373AF">
        <w:rPr>
          <w:rFonts w:ascii="Helvetica" w:hAnsi="Helvetica" w:cs="Calibri"/>
          <w:b/>
          <w:bCs/>
          <w:color w:val="000000"/>
          <w:sz w:val="24"/>
          <w:szCs w:val="24"/>
        </w:rPr>
        <w:t>HOW TO STORE AND DESTROY RECORDS</w:t>
      </w:r>
      <w:r w:rsidRPr="00F373AF">
        <w:rPr>
          <w:rFonts w:ascii="Helvetica" w:hAnsi="Helvetica" w:cs="Calibri"/>
          <w:color w:val="000000"/>
          <w:sz w:val="24"/>
          <w:szCs w:val="24"/>
        </w:rPr>
        <w:t>  </w:t>
      </w:r>
    </w:p>
    <w:p w14:paraId="62AEBC9C" w14:textId="7AA54371"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Storage</w:t>
      </w:r>
      <w:r w:rsidRPr="00F373AF">
        <w:rPr>
          <w:rFonts w:ascii="Helvetica" w:hAnsi="Helvetica" w:cs="Calibri"/>
          <w:color w:val="000000"/>
          <w:sz w:val="24"/>
          <w:szCs w:val="24"/>
        </w:rPr>
        <w:t xml:space="preserve">. Our records must be stored in a safe, secure, and accessible manner. Any documents and financial files that are essential to </w:t>
      </w:r>
      <w:r w:rsidR="003A48D8" w:rsidRPr="00F373AF">
        <w:rPr>
          <w:rFonts w:ascii="Helvetica" w:hAnsi="Helvetica" w:cs="Calibri"/>
          <w:color w:val="000000"/>
          <w:sz w:val="24"/>
          <w:szCs w:val="24"/>
        </w:rPr>
        <w:t>our</w:t>
      </w:r>
      <w:r w:rsidRPr="00F373AF">
        <w:rPr>
          <w:rFonts w:ascii="Helvetica" w:hAnsi="Helvetica" w:cs="Calibri"/>
          <w:color w:val="000000"/>
          <w:sz w:val="24"/>
          <w:szCs w:val="24"/>
        </w:rPr>
        <w:t xml:space="preserve"> </w:t>
      </w:r>
      <w:r w:rsidR="00614703" w:rsidRPr="00F373AF">
        <w:rPr>
          <w:rFonts w:ascii="Helvetica" w:hAnsi="Helvetica" w:cs="Calibri"/>
          <w:color w:val="000000"/>
          <w:sz w:val="24"/>
          <w:szCs w:val="24"/>
        </w:rPr>
        <w:t>purpose and activities</w:t>
      </w:r>
      <w:r w:rsidRPr="00F373AF">
        <w:rPr>
          <w:rFonts w:ascii="Helvetica" w:hAnsi="Helvetica" w:cs="Calibri"/>
          <w:color w:val="000000"/>
          <w:sz w:val="24"/>
          <w:szCs w:val="24"/>
        </w:rPr>
        <w:t xml:space="preserve"> during an emergency must be duplicated and/or backed up at regular intervals.</w:t>
      </w:r>
    </w:p>
    <w:p w14:paraId="6486A23C"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1C0AB16A"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u w:val="single"/>
        </w:rPr>
        <w:t>Destruction</w:t>
      </w:r>
      <w:r w:rsidRPr="00F373AF">
        <w:rPr>
          <w:rFonts w:ascii="Helvetica" w:hAnsi="Helvetica" w:cs="Calibri"/>
          <w:color w:val="000000"/>
          <w:sz w:val="24"/>
          <w:szCs w:val="24"/>
        </w:rPr>
        <w:t xml:space="preserve">. The Data Protection </w:t>
      </w:r>
      <w:r w:rsidR="00614703" w:rsidRPr="00F373AF">
        <w:rPr>
          <w:rFonts w:ascii="Helvetica" w:hAnsi="Helvetica" w:cs="Calibri"/>
          <w:color w:val="000000"/>
          <w:sz w:val="24"/>
          <w:szCs w:val="24"/>
        </w:rPr>
        <w:t>Lead</w:t>
      </w:r>
      <w:r w:rsidRPr="00F373AF">
        <w:rPr>
          <w:rFonts w:ascii="Helvetica" w:hAnsi="Helvetica" w:cs="Calibri"/>
          <w:color w:val="000000"/>
          <w:sz w:val="24"/>
          <w:szCs w:val="24"/>
        </w:rPr>
        <w:t xml:space="preserve"> is responsible for the continuing process of identifying the records that have met their required retention period and supervising their destruction. The destruction of confidential, financial, and personnel-related records must be conducted by shredding if possible. Non-confidential records may be destroyed by recycling. The destruction of electronic records must be </w:t>
      </w:r>
      <w:r w:rsidR="00614703" w:rsidRPr="00F373AF">
        <w:rPr>
          <w:rFonts w:ascii="Helvetica" w:hAnsi="Helvetica" w:cs="Calibri"/>
          <w:color w:val="000000"/>
          <w:sz w:val="24"/>
          <w:szCs w:val="24"/>
        </w:rPr>
        <w:t>undertaken with appropriate expert advice and oversight</w:t>
      </w:r>
      <w:r w:rsidRPr="00F373AF">
        <w:rPr>
          <w:rFonts w:ascii="Helvetica" w:hAnsi="Helvetica" w:cs="Calibri"/>
          <w:color w:val="000000"/>
          <w:sz w:val="24"/>
          <w:szCs w:val="24"/>
        </w:rPr>
        <w:t>.</w:t>
      </w:r>
    </w:p>
    <w:p w14:paraId="6144EC46"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 </w:t>
      </w:r>
    </w:p>
    <w:p w14:paraId="2C291F2F"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The destruction of records must stop immediately upon notification that litigation to which the said documents would be relevant is likely to occur.</w:t>
      </w:r>
    </w:p>
    <w:p w14:paraId="409E1B2D"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02EB6F34" w14:textId="77777777" w:rsidR="0083731E" w:rsidRPr="00F373AF" w:rsidRDefault="0083731E" w:rsidP="00F27022">
      <w:pPr>
        <w:widowControl w:val="0"/>
        <w:autoSpaceDE w:val="0"/>
        <w:autoSpaceDN w:val="0"/>
        <w:adjustRightInd w:val="0"/>
        <w:spacing w:line="240" w:lineRule="auto"/>
        <w:jc w:val="both"/>
        <w:rPr>
          <w:rFonts w:ascii="Helvetica" w:hAnsi="Helvetica" w:cs="Calibri"/>
          <w:b/>
          <w:bCs/>
          <w:color w:val="000000"/>
          <w:sz w:val="24"/>
          <w:szCs w:val="24"/>
        </w:rPr>
      </w:pPr>
    </w:p>
    <w:p w14:paraId="0C8563AB" w14:textId="25D54CAE"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b/>
          <w:bCs/>
          <w:color w:val="000000"/>
          <w:sz w:val="24"/>
          <w:szCs w:val="24"/>
        </w:rPr>
        <w:t>INTERNAL REVIEW</w:t>
      </w:r>
    </w:p>
    <w:p w14:paraId="744D542F"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sz w:val="24"/>
          <w:szCs w:val="24"/>
        </w:rPr>
      </w:pPr>
    </w:p>
    <w:p w14:paraId="55A390B3" w14:textId="773643E8" w:rsidR="00F27022" w:rsidRPr="00F373AF" w:rsidRDefault="00614703" w:rsidP="00F27022">
      <w:pPr>
        <w:widowControl w:val="0"/>
        <w:autoSpaceDE w:val="0"/>
        <w:autoSpaceDN w:val="0"/>
        <w:adjustRightInd w:val="0"/>
        <w:spacing w:line="240" w:lineRule="auto"/>
        <w:jc w:val="both"/>
        <w:rPr>
          <w:rFonts w:ascii="Helvetica" w:hAnsi="Helvetica" w:cs="Calibri"/>
          <w:color w:val="000000"/>
          <w:sz w:val="24"/>
          <w:szCs w:val="24"/>
        </w:rPr>
      </w:pPr>
      <w:r w:rsidRPr="00F373AF">
        <w:rPr>
          <w:rFonts w:ascii="Helvetica" w:hAnsi="Helvetica" w:cs="Calibri"/>
          <w:color w:val="000000"/>
          <w:sz w:val="24"/>
          <w:szCs w:val="24"/>
        </w:rPr>
        <w:t>The Data Protection Lead</w:t>
      </w:r>
      <w:r w:rsidR="00F27022" w:rsidRPr="00F373AF">
        <w:rPr>
          <w:rFonts w:ascii="Helvetica" w:hAnsi="Helvetica" w:cs="Calibri"/>
          <w:color w:val="000000"/>
          <w:sz w:val="24"/>
          <w:szCs w:val="24"/>
        </w:rPr>
        <w:t xml:space="preserve"> will periodically review this Policy and its procedures to ensure that the </w:t>
      </w:r>
      <w:r w:rsidR="008B3729" w:rsidRPr="00F373AF">
        <w:rPr>
          <w:rFonts w:ascii="Helvetica" w:hAnsi="Helvetica" w:cs="Calibri"/>
          <w:color w:val="000000"/>
          <w:sz w:val="24"/>
          <w:szCs w:val="24"/>
        </w:rPr>
        <w:t xml:space="preserve">presbytery/congregation </w:t>
      </w:r>
      <w:r w:rsidR="008B3729" w:rsidRPr="00F373AF">
        <w:rPr>
          <w:rFonts w:ascii="Helvetica" w:hAnsi="Helvetica" w:cs="Calibri"/>
          <w:color w:val="FF0000"/>
          <w:sz w:val="24"/>
          <w:szCs w:val="24"/>
        </w:rPr>
        <w:t>[delete as appropriate]</w:t>
      </w:r>
      <w:r w:rsidR="00F27022" w:rsidRPr="00F373AF">
        <w:rPr>
          <w:rFonts w:ascii="Helvetica" w:hAnsi="Helvetica" w:cs="Calibri"/>
          <w:color w:val="FF0000"/>
          <w:sz w:val="24"/>
          <w:szCs w:val="24"/>
        </w:rPr>
        <w:t xml:space="preserve"> </w:t>
      </w:r>
      <w:r w:rsidR="00F27022" w:rsidRPr="00F373AF">
        <w:rPr>
          <w:rFonts w:ascii="Helvetica" w:hAnsi="Helvetica" w:cs="Calibri"/>
          <w:color w:val="000000"/>
          <w:sz w:val="24"/>
          <w:szCs w:val="24"/>
        </w:rPr>
        <w:t xml:space="preserve">is in full compliance with relevant new or amended regulations. </w:t>
      </w:r>
    </w:p>
    <w:p w14:paraId="7EF30627" w14:textId="77777777" w:rsidR="00F27022" w:rsidRPr="00F373AF" w:rsidRDefault="00F27022" w:rsidP="00F27022">
      <w:pPr>
        <w:widowControl w:val="0"/>
        <w:autoSpaceDE w:val="0"/>
        <w:autoSpaceDN w:val="0"/>
        <w:adjustRightInd w:val="0"/>
        <w:spacing w:line="240" w:lineRule="auto"/>
        <w:jc w:val="both"/>
        <w:rPr>
          <w:rFonts w:ascii="Helvetica" w:hAnsi="Helvetica" w:cs="Calibri"/>
          <w:color w:val="000000"/>
        </w:rPr>
      </w:pPr>
    </w:p>
    <w:p w14:paraId="4E098FCB" w14:textId="77777777" w:rsidR="00F373AF" w:rsidRDefault="00F27022" w:rsidP="00F27022">
      <w:pPr>
        <w:spacing w:line="240" w:lineRule="auto"/>
        <w:rPr>
          <w:rFonts w:ascii="Helvetica" w:hAnsi="Helvetica" w:cs="Calibri"/>
          <w:color w:val="000000"/>
        </w:rPr>
        <w:sectPr w:rsidR="00F373AF" w:rsidSect="00D72F1F">
          <w:headerReference w:type="default" r:id="rId8"/>
          <w:pgSz w:w="11906" w:h="16838"/>
          <w:pgMar w:top="1170" w:right="1440" w:bottom="1170" w:left="1440" w:header="708" w:footer="708" w:gutter="0"/>
          <w:cols w:space="708"/>
          <w:docGrid w:linePitch="360"/>
        </w:sectPr>
      </w:pPr>
      <w:r w:rsidRPr="00F373AF">
        <w:rPr>
          <w:rFonts w:ascii="Helvetica" w:hAnsi="Helvetica" w:cs="Calibri"/>
          <w:color w:val="000000"/>
        </w:rPr>
        <w:br w:type="page"/>
      </w:r>
    </w:p>
    <w:p w14:paraId="510A47C5" w14:textId="77777777" w:rsidR="00F27022" w:rsidRPr="00F373AF" w:rsidRDefault="00F27022" w:rsidP="00D72F1F">
      <w:pPr>
        <w:widowControl w:val="0"/>
        <w:autoSpaceDE w:val="0"/>
        <w:autoSpaceDN w:val="0"/>
        <w:adjustRightInd w:val="0"/>
        <w:spacing w:after="240" w:line="240" w:lineRule="auto"/>
        <w:jc w:val="center"/>
        <w:rPr>
          <w:rFonts w:ascii="Helvetica" w:hAnsi="Helvetica" w:cs="Calibri"/>
          <w:b/>
          <w:color w:val="000000"/>
        </w:rPr>
      </w:pPr>
      <w:r w:rsidRPr="00F373AF">
        <w:rPr>
          <w:rFonts w:ascii="Helvetica" w:hAnsi="Helvetica" w:cs="Calibri"/>
          <w:b/>
          <w:color w:val="000000"/>
        </w:rPr>
        <w:lastRenderedPageBreak/>
        <w:t>APPENDIX – RECORDS RETENTION SCHEDULE</w:t>
      </w:r>
    </w:p>
    <w:tbl>
      <w:tblPr>
        <w:tblStyle w:val="TableGrid"/>
        <w:tblW w:w="9659" w:type="dxa"/>
        <w:tblInd w:w="-252" w:type="dxa"/>
        <w:tblLook w:val="04A0" w:firstRow="1" w:lastRow="0" w:firstColumn="1" w:lastColumn="0" w:noHBand="0" w:noVBand="1"/>
      </w:tblPr>
      <w:tblGrid>
        <w:gridCol w:w="3446"/>
        <w:gridCol w:w="244"/>
        <w:gridCol w:w="3093"/>
        <w:gridCol w:w="552"/>
        <w:gridCol w:w="1933"/>
        <w:gridCol w:w="391"/>
      </w:tblGrid>
      <w:tr w:rsidR="00F373AF" w:rsidRPr="00F373AF" w14:paraId="71A6DBD0" w14:textId="2264875D" w:rsidTr="00F373AF">
        <w:trPr>
          <w:trHeight w:val="411"/>
        </w:trPr>
        <w:tc>
          <w:tcPr>
            <w:tcW w:w="3446" w:type="dxa"/>
            <w:shd w:val="clear" w:color="auto" w:fill="E7E6E6" w:themeFill="background2"/>
          </w:tcPr>
          <w:p w14:paraId="75A73779" w14:textId="77777777" w:rsidR="00B16EB4" w:rsidRPr="00F373AF" w:rsidRDefault="00B16EB4" w:rsidP="0023174F">
            <w:pPr>
              <w:widowControl w:val="0"/>
              <w:autoSpaceDE w:val="0"/>
              <w:autoSpaceDN w:val="0"/>
              <w:adjustRightInd w:val="0"/>
              <w:spacing w:before="200" w:line="240" w:lineRule="auto"/>
              <w:rPr>
                <w:rFonts w:ascii="Helvetica" w:hAnsi="Helvetica" w:cs="Calibri"/>
                <w:b/>
                <w:color w:val="000000"/>
              </w:rPr>
            </w:pPr>
            <w:r w:rsidRPr="00F373AF">
              <w:rPr>
                <w:rFonts w:ascii="Helvetica" w:hAnsi="Helvetica" w:cs="Calibri"/>
                <w:b/>
                <w:color w:val="000000"/>
              </w:rPr>
              <w:t>TYPE OF RECORD</w:t>
            </w:r>
          </w:p>
        </w:tc>
        <w:tc>
          <w:tcPr>
            <w:tcW w:w="3889" w:type="dxa"/>
            <w:gridSpan w:val="3"/>
            <w:shd w:val="clear" w:color="auto" w:fill="E7E6E6" w:themeFill="background2"/>
          </w:tcPr>
          <w:p w14:paraId="2B081F55" w14:textId="77777777" w:rsidR="00B16EB4" w:rsidRPr="00F373AF" w:rsidRDefault="00B16EB4" w:rsidP="0070544E">
            <w:pPr>
              <w:widowControl w:val="0"/>
              <w:autoSpaceDE w:val="0"/>
              <w:autoSpaceDN w:val="0"/>
              <w:adjustRightInd w:val="0"/>
              <w:spacing w:before="200" w:line="240" w:lineRule="auto"/>
              <w:rPr>
                <w:rFonts w:ascii="Helvetica" w:hAnsi="Helvetica" w:cs="Calibri"/>
                <w:b/>
                <w:color w:val="000000"/>
              </w:rPr>
            </w:pPr>
            <w:r w:rsidRPr="00F373AF">
              <w:rPr>
                <w:rFonts w:ascii="Helvetica" w:hAnsi="Helvetica" w:cs="Calibri"/>
                <w:b/>
                <w:color w:val="000000"/>
              </w:rPr>
              <w:t>RECOMMENDED RETENTION PERIOD</w:t>
            </w:r>
          </w:p>
        </w:tc>
        <w:tc>
          <w:tcPr>
            <w:tcW w:w="2324" w:type="dxa"/>
            <w:gridSpan w:val="2"/>
            <w:shd w:val="clear" w:color="auto" w:fill="E7E6E6" w:themeFill="background2"/>
          </w:tcPr>
          <w:p w14:paraId="05A9B2C3" w14:textId="5B1C5115" w:rsidR="00B16EB4" w:rsidRPr="00F373AF" w:rsidRDefault="00B16EB4" w:rsidP="0023174F">
            <w:pPr>
              <w:widowControl w:val="0"/>
              <w:autoSpaceDE w:val="0"/>
              <w:autoSpaceDN w:val="0"/>
              <w:adjustRightInd w:val="0"/>
              <w:spacing w:before="200" w:line="240" w:lineRule="auto"/>
              <w:jc w:val="both"/>
              <w:rPr>
                <w:rFonts w:ascii="Helvetica" w:hAnsi="Helvetica" w:cs="Calibri"/>
                <w:b/>
                <w:color w:val="000000"/>
              </w:rPr>
            </w:pPr>
            <w:r w:rsidRPr="00F373AF">
              <w:rPr>
                <w:rFonts w:ascii="Helvetica" w:hAnsi="Helvetica" w:cs="Calibri"/>
                <w:b/>
                <w:color w:val="000000"/>
              </w:rPr>
              <w:t>BASIS</w:t>
            </w:r>
          </w:p>
        </w:tc>
      </w:tr>
      <w:tr w:rsidR="00A0258A" w:rsidRPr="00F373AF" w14:paraId="3864F75F" w14:textId="77777777" w:rsidTr="00F373AF">
        <w:trPr>
          <w:trHeight w:val="305"/>
        </w:trPr>
        <w:tc>
          <w:tcPr>
            <w:tcW w:w="9659" w:type="dxa"/>
            <w:gridSpan w:val="6"/>
            <w:shd w:val="clear" w:color="auto" w:fill="E7E6E6" w:themeFill="background2"/>
          </w:tcPr>
          <w:p w14:paraId="79C5E812" w14:textId="768BAFB2" w:rsidR="00A0258A" w:rsidRPr="00F373AF" w:rsidRDefault="00A0258A" w:rsidP="003A0145">
            <w:pPr>
              <w:widowControl w:val="0"/>
              <w:autoSpaceDE w:val="0"/>
              <w:autoSpaceDN w:val="0"/>
              <w:adjustRightInd w:val="0"/>
              <w:spacing w:before="120" w:line="240" w:lineRule="auto"/>
              <w:jc w:val="both"/>
              <w:rPr>
                <w:rFonts w:ascii="Helvetica" w:hAnsi="Helvetica" w:cs="Calibri"/>
                <w:color w:val="000000"/>
              </w:rPr>
            </w:pPr>
            <w:r w:rsidRPr="00F373AF">
              <w:rPr>
                <w:rFonts w:ascii="Helvetica" w:hAnsi="Helvetica" w:cs="Calibri"/>
                <w:b/>
                <w:color w:val="000000"/>
              </w:rPr>
              <w:t>Property and Equipment</w:t>
            </w:r>
          </w:p>
        </w:tc>
      </w:tr>
      <w:tr w:rsidR="00F373AF" w:rsidRPr="00F373AF" w14:paraId="2EBA3A9E" w14:textId="77777777" w:rsidTr="00F373AF">
        <w:trPr>
          <w:trHeight w:val="411"/>
        </w:trPr>
        <w:tc>
          <w:tcPr>
            <w:tcW w:w="3446" w:type="dxa"/>
          </w:tcPr>
          <w:p w14:paraId="1472C2AB" w14:textId="6CD1052A"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Title deeds and other documents of title</w:t>
            </w:r>
          </w:p>
        </w:tc>
        <w:tc>
          <w:tcPr>
            <w:tcW w:w="3889" w:type="dxa"/>
            <w:gridSpan w:val="3"/>
          </w:tcPr>
          <w:p w14:paraId="11A2D4B8" w14:textId="77777777"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Indefinitely</w:t>
            </w:r>
          </w:p>
        </w:tc>
        <w:tc>
          <w:tcPr>
            <w:tcW w:w="2324" w:type="dxa"/>
            <w:gridSpan w:val="2"/>
          </w:tcPr>
          <w:p w14:paraId="2EC74BF8" w14:textId="77777777"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14F5BADD" w14:textId="77777777" w:rsidTr="00F373AF">
        <w:trPr>
          <w:trHeight w:val="411"/>
        </w:trPr>
        <w:tc>
          <w:tcPr>
            <w:tcW w:w="3446" w:type="dxa"/>
          </w:tcPr>
          <w:p w14:paraId="39678ADA" w14:textId="108893EA"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Service contracts and certificates, warranty documents</w:t>
            </w:r>
          </w:p>
        </w:tc>
        <w:tc>
          <w:tcPr>
            <w:tcW w:w="3889" w:type="dxa"/>
            <w:gridSpan w:val="3"/>
          </w:tcPr>
          <w:p w14:paraId="5446A3A9" w14:textId="6CF595A2"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Retain for 3 years after expiry</w:t>
            </w:r>
          </w:p>
        </w:tc>
        <w:tc>
          <w:tcPr>
            <w:tcW w:w="2324" w:type="dxa"/>
            <w:gridSpan w:val="2"/>
          </w:tcPr>
          <w:p w14:paraId="35017BC3" w14:textId="6B01E6C5" w:rsidR="00A0258A" w:rsidRPr="00F373AF" w:rsidRDefault="00A0258A" w:rsidP="003A0145">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B748D5" w:rsidRPr="00F373AF" w14:paraId="45FC57AE" w14:textId="5A3B8A40" w:rsidTr="00F373AF">
        <w:trPr>
          <w:trHeight w:val="305"/>
        </w:trPr>
        <w:tc>
          <w:tcPr>
            <w:tcW w:w="9659" w:type="dxa"/>
            <w:gridSpan w:val="6"/>
            <w:shd w:val="clear" w:color="auto" w:fill="E7E6E6" w:themeFill="background2"/>
          </w:tcPr>
          <w:p w14:paraId="3933A7EB" w14:textId="163A1C88" w:rsidR="00B748D5" w:rsidRPr="00F373AF" w:rsidRDefault="00B748D5" w:rsidP="002A1864">
            <w:pPr>
              <w:widowControl w:val="0"/>
              <w:autoSpaceDE w:val="0"/>
              <w:autoSpaceDN w:val="0"/>
              <w:adjustRightInd w:val="0"/>
              <w:spacing w:before="120" w:line="240" w:lineRule="auto"/>
              <w:jc w:val="both"/>
              <w:rPr>
                <w:rFonts w:ascii="Helvetica" w:hAnsi="Helvetica" w:cs="Calibri"/>
                <w:color w:val="000000"/>
              </w:rPr>
            </w:pPr>
            <w:r w:rsidRPr="00F373AF">
              <w:rPr>
                <w:rFonts w:ascii="Helvetica" w:hAnsi="Helvetica" w:cs="Calibri"/>
                <w:b/>
                <w:color w:val="000000"/>
              </w:rPr>
              <w:t>Financial</w:t>
            </w:r>
          </w:p>
        </w:tc>
      </w:tr>
      <w:tr w:rsidR="00F373AF" w:rsidRPr="00F373AF" w14:paraId="1A7E1C07" w14:textId="77777777" w:rsidTr="00F373AF">
        <w:trPr>
          <w:trHeight w:val="411"/>
        </w:trPr>
        <w:tc>
          <w:tcPr>
            <w:tcW w:w="3446" w:type="dxa"/>
          </w:tcPr>
          <w:p w14:paraId="4248EF01" w14:textId="78DBC5CC" w:rsidR="00142B8E" w:rsidRPr="00F373AF" w:rsidRDefault="00142B8E"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Annual </w:t>
            </w:r>
            <w:r w:rsidR="00A0258A" w:rsidRPr="00F373AF">
              <w:rPr>
                <w:rFonts w:ascii="Helvetica" w:hAnsi="Helvetica" w:cs="Calibri"/>
                <w:color w:val="000000"/>
              </w:rPr>
              <w:t>examined/</w:t>
            </w:r>
            <w:r w:rsidRPr="00F373AF">
              <w:rPr>
                <w:rFonts w:ascii="Helvetica" w:hAnsi="Helvetica" w:cs="Calibri"/>
                <w:color w:val="000000"/>
              </w:rPr>
              <w:t>audited accounts</w:t>
            </w:r>
          </w:p>
        </w:tc>
        <w:tc>
          <w:tcPr>
            <w:tcW w:w="3889" w:type="dxa"/>
            <w:gridSpan w:val="3"/>
          </w:tcPr>
          <w:p w14:paraId="0305C498" w14:textId="59D3F8B6" w:rsidR="00142B8E" w:rsidRPr="00F373AF" w:rsidRDefault="00142B8E"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Indefinitely</w:t>
            </w:r>
          </w:p>
        </w:tc>
        <w:tc>
          <w:tcPr>
            <w:tcW w:w="2324" w:type="dxa"/>
            <w:gridSpan w:val="2"/>
          </w:tcPr>
          <w:p w14:paraId="0F53BCC9" w14:textId="0909CE2E" w:rsidR="00142B8E"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w:t>
            </w:r>
            <w:r w:rsidR="00142B8E" w:rsidRPr="00F373AF">
              <w:rPr>
                <w:rFonts w:ascii="Helvetica" w:hAnsi="Helvetica" w:cs="Calibri"/>
                <w:color w:val="000000"/>
              </w:rPr>
              <w:t>ecommended</w:t>
            </w:r>
          </w:p>
        </w:tc>
      </w:tr>
      <w:tr w:rsidR="00F373AF" w:rsidRPr="00F373AF" w14:paraId="54D7940B" w14:textId="0DBDC714" w:rsidTr="00F373AF">
        <w:trPr>
          <w:trHeight w:val="411"/>
        </w:trPr>
        <w:tc>
          <w:tcPr>
            <w:tcW w:w="3446" w:type="dxa"/>
          </w:tcPr>
          <w:p w14:paraId="7CBC7D1B" w14:textId="36DDF136" w:rsidR="00B16EB4" w:rsidRPr="00F373AF" w:rsidRDefault="00B16EB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All financial records in support of </w:t>
            </w:r>
            <w:r w:rsidR="00A0258A" w:rsidRPr="00F373AF">
              <w:rPr>
                <w:rFonts w:ascii="Helvetica" w:hAnsi="Helvetica" w:cs="Calibri"/>
                <w:color w:val="000000"/>
              </w:rPr>
              <w:t>examined/</w:t>
            </w:r>
            <w:r w:rsidRPr="00F373AF">
              <w:rPr>
                <w:rFonts w:ascii="Helvetica" w:hAnsi="Helvetica" w:cs="Calibri"/>
                <w:color w:val="000000"/>
              </w:rPr>
              <w:t>audited accounts</w:t>
            </w:r>
          </w:p>
        </w:tc>
        <w:tc>
          <w:tcPr>
            <w:tcW w:w="3889" w:type="dxa"/>
            <w:gridSpan w:val="3"/>
          </w:tcPr>
          <w:p w14:paraId="66187F46" w14:textId="7DE021D2" w:rsidR="00B16EB4" w:rsidRPr="00F373AF" w:rsidRDefault="00B16EB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Current year + 6 years history</w:t>
            </w:r>
          </w:p>
        </w:tc>
        <w:tc>
          <w:tcPr>
            <w:tcW w:w="2324" w:type="dxa"/>
            <w:gridSpan w:val="2"/>
          </w:tcPr>
          <w:p w14:paraId="448B0289" w14:textId="12962E3D" w:rsidR="00B16EB4" w:rsidRPr="00F373AF" w:rsidRDefault="00B16EB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Legal requirement</w:t>
            </w:r>
          </w:p>
        </w:tc>
      </w:tr>
      <w:tr w:rsidR="00F373AF" w:rsidRPr="00F373AF" w14:paraId="0493EE93" w14:textId="23ED2B6C" w:rsidTr="00F373AF">
        <w:trPr>
          <w:trHeight w:val="411"/>
        </w:trPr>
        <w:tc>
          <w:tcPr>
            <w:tcW w:w="3446" w:type="dxa"/>
          </w:tcPr>
          <w:p w14:paraId="40C304D9" w14:textId="53A4D729" w:rsidR="00B16EB4" w:rsidRPr="00F373AF" w:rsidRDefault="00576530"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Gift Aid declarations</w:t>
            </w:r>
          </w:p>
        </w:tc>
        <w:tc>
          <w:tcPr>
            <w:tcW w:w="3889" w:type="dxa"/>
            <w:gridSpan w:val="3"/>
          </w:tcPr>
          <w:p w14:paraId="149DCB7B" w14:textId="4CB0DAC4" w:rsidR="00B16EB4" w:rsidRPr="00F373AF" w:rsidRDefault="00142B8E"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Keep as long as they are valid + 6 years</w:t>
            </w:r>
            <w:r w:rsidR="00576530" w:rsidRPr="00F373AF">
              <w:rPr>
                <w:rFonts w:ascii="Helvetica" w:hAnsi="Helvetica" w:cs="Calibri"/>
                <w:color w:val="000000"/>
              </w:rPr>
              <w:t xml:space="preserve">  </w:t>
            </w:r>
          </w:p>
        </w:tc>
        <w:tc>
          <w:tcPr>
            <w:tcW w:w="2324" w:type="dxa"/>
            <w:gridSpan w:val="2"/>
          </w:tcPr>
          <w:p w14:paraId="5CA7860E" w14:textId="51965CB6" w:rsidR="00B16EB4" w:rsidRPr="00F373AF" w:rsidRDefault="00576530"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Legal requirement</w:t>
            </w:r>
          </w:p>
        </w:tc>
      </w:tr>
      <w:tr w:rsidR="00F373AF" w:rsidRPr="00F373AF" w14:paraId="08AB13EE" w14:textId="21CEAD4A" w:rsidTr="00F373AF">
        <w:trPr>
          <w:trHeight w:val="411"/>
        </w:trPr>
        <w:tc>
          <w:tcPr>
            <w:tcW w:w="3446" w:type="dxa"/>
          </w:tcPr>
          <w:p w14:paraId="3ED37662" w14:textId="090C90DF" w:rsidR="00B16EB4" w:rsidRPr="00F373AF" w:rsidRDefault="00576530"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Capital expenditure, guarantees, invoices, receipts etc. </w:t>
            </w:r>
          </w:p>
        </w:tc>
        <w:tc>
          <w:tcPr>
            <w:tcW w:w="3889" w:type="dxa"/>
            <w:gridSpan w:val="3"/>
          </w:tcPr>
          <w:p w14:paraId="5171753A" w14:textId="14E03848" w:rsidR="00B16EB4" w:rsidRPr="00F373AF" w:rsidRDefault="0070544E"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Last action + 5</w:t>
            </w:r>
            <w:r w:rsidR="00576530" w:rsidRPr="00F373AF">
              <w:rPr>
                <w:rFonts w:ascii="Helvetica" w:hAnsi="Helvetica" w:cs="Calibri"/>
                <w:color w:val="000000"/>
              </w:rPr>
              <w:t xml:space="preserve"> years dependant on the nature of the expenditure and the length of the guarantee.</w:t>
            </w:r>
            <w:r w:rsidRPr="00F373AF">
              <w:rPr>
                <w:rFonts w:ascii="Helvetica" w:hAnsi="Helvetica" w:cs="Calibri"/>
                <w:color w:val="000000"/>
              </w:rPr>
              <w:t xml:space="preserve">  After that review for possible retention or destroy</w:t>
            </w:r>
          </w:p>
        </w:tc>
        <w:tc>
          <w:tcPr>
            <w:tcW w:w="2324" w:type="dxa"/>
            <w:gridSpan w:val="2"/>
          </w:tcPr>
          <w:p w14:paraId="10DAC06F" w14:textId="58376C3D" w:rsidR="00B16EB4" w:rsidRPr="00F373AF" w:rsidRDefault="0070544E"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w:t>
            </w:r>
            <w:r w:rsidR="00576530" w:rsidRPr="00F373AF">
              <w:rPr>
                <w:rFonts w:ascii="Helvetica" w:hAnsi="Helvetica" w:cs="Calibri"/>
                <w:color w:val="000000"/>
              </w:rPr>
              <w:t>co</w:t>
            </w:r>
            <w:r w:rsidRPr="00F373AF">
              <w:rPr>
                <w:rFonts w:ascii="Helvetica" w:hAnsi="Helvetica" w:cs="Calibri"/>
                <w:color w:val="000000"/>
              </w:rPr>
              <w:t>m</w:t>
            </w:r>
            <w:r w:rsidR="00576530" w:rsidRPr="00F373AF">
              <w:rPr>
                <w:rFonts w:ascii="Helvetica" w:hAnsi="Helvetica" w:cs="Calibri"/>
                <w:color w:val="000000"/>
              </w:rPr>
              <w:t>mended</w:t>
            </w:r>
          </w:p>
        </w:tc>
      </w:tr>
      <w:tr w:rsidR="00F373AF" w:rsidRPr="00F373AF" w14:paraId="0D76F723" w14:textId="77777777" w:rsidTr="00F373AF">
        <w:trPr>
          <w:trHeight w:val="411"/>
        </w:trPr>
        <w:tc>
          <w:tcPr>
            <w:tcW w:w="3446" w:type="dxa"/>
          </w:tcPr>
          <w:p w14:paraId="4D97D902" w14:textId="569F2E6A"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Insurance policies – employers’ liability</w:t>
            </w:r>
          </w:p>
        </w:tc>
        <w:tc>
          <w:tcPr>
            <w:tcW w:w="3889" w:type="dxa"/>
            <w:gridSpan w:val="3"/>
          </w:tcPr>
          <w:p w14:paraId="556D0382" w14:textId="76696479"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Current year + 40 years</w:t>
            </w:r>
          </w:p>
        </w:tc>
        <w:tc>
          <w:tcPr>
            <w:tcW w:w="2324" w:type="dxa"/>
            <w:gridSpan w:val="2"/>
          </w:tcPr>
          <w:p w14:paraId="522C6DA3" w14:textId="61403C78" w:rsidR="00B748D5"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44C9F9C7" w14:textId="77777777" w:rsidTr="00F373AF">
        <w:trPr>
          <w:trHeight w:val="411"/>
        </w:trPr>
        <w:tc>
          <w:tcPr>
            <w:tcW w:w="3446" w:type="dxa"/>
          </w:tcPr>
          <w:p w14:paraId="27F3A2ED" w14:textId="59795C48"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Insurance policies – other than employers’ liability</w:t>
            </w:r>
          </w:p>
        </w:tc>
        <w:tc>
          <w:tcPr>
            <w:tcW w:w="3889" w:type="dxa"/>
            <w:gridSpan w:val="3"/>
          </w:tcPr>
          <w:p w14:paraId="48BE3431" w14:textId="52393F6B"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Current year + 6 years</w:t>
            </w:r>
          </w:p>
        </w:tc>
        <w:tc>
          <w:tcPr>
            <w:tcW w:w="2324" w:type="dxa"/>
            <w:gridSpan w:val="2"/>
          </w:tcPr>
          <w:p w14:paraId="43E50A53" w14:textId="785CBF67" w:rsidR="00B748D5"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197BF6F6" w14:textId="77777777" w:rsidTr="00F373AF">
        <w:trPr>
          <w:trHeight w:val="411"/>
        </w:trPr>
        <w:tc>
          <w:tcPr>
            <w:tcW w:w="3446" w:type="dxa"/>
          </w:tcPr>
          <w:p w14:paraId="13802927" w14:textId="284E18E6"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Church Copyright Licence information</w:t>
            </w:r>
          </w:p>
        </w:tc>
        <w:tc>
          <w:tcPr>
            <w:tcW w:w="3889" w:type="dxa"/>
            <w:gridSpan w:val="3"/>
          </w:tcPr>
          <w:p w14:paraId="36B77930" w14:textId="3281BDDF" w:rsidR="00B748D5" w:rsidRPr="00F373AF" w:rsidRDefault="00B748D5"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Current year + 6 years</w:t>
            </w:r>
          </w:p>
        </w:tc>
        <w:tc>
          <w:tcPr>
            <w:tcW w:w="2324" w:type="dxa"/>
            <w:gridSpan w:val="2"/>
          </w:tcPr>
          <w:p w14:paraId="37B0ECDF" w14:textId="1927BD45" w:rsidR="00B748D5"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2A1864" w:rsidRPr="00F373AF" w14:paraId="0909EA13" w14:textId="50517802" w:rsidTr="00F373AF">
        <w:trPr>
          <w:trHeight w:val="411"/>
        </w:trPr>
        <w:tc>
          <w:tcPr>
            <w:tcW w:w="9659" w:type="dxa"/>
            <w:gridSpan w:val="6"/>
            <w:shd w:val="clear" w:color="auto" w:fill="E7E6E6" w:themeFill="background2"/>
          </w:tcPr>
          <w:p w14:paraId="6075BB0B" w14:textId="2D79EA7A"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b/>
                <w:color w:val="000000"/>
              </w:rPr>
              <w:t>Church Services</w:t>
            </w:r>
          </w:p>
        </w:tc>
      </w:tr>
      <w:tr w:rsidR="00F373AF" w:rsidRPr="00F373AF" w14:paraId="3EF51EF8" w14:textId="5306CEEA" w:rsidTr="00F373AF">
        <w:trPr>
          <w:trHeight w:val="411"/>
        </w:trPr>
        <w:tc>
          <w:tcPr>
            <w:tcW w:w="3446" w:type="dxa"/>
          </w:tcPr>
          <w:p w14:paraId="13579C4A" w14:textId="3ECC2C2F"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Baptism, Marriage records</w:t>
            </w:r>
          </w:p>
        </w:tc>
        <w:tc>
          <w:tcPr>
            <w:tcW w:w="3889" w:type="dxa"/>
            <w:gridSpan w:val="3"/>
          </w:tcPr>
          <w:p w14:paraId="2313857F" w14:textId="39C7D214"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Permanent</w:t>
            </w:r>
          </w:p>
        </w:tc>
        <w:tc>
          <w:tcPr>
            <w:tcW w:w="2324" w:type="dxa"/>
            <w:gridSpan w:val="2"/>
          </w:tcPr>
          <w:p w14:paraId="473CC51E" w14:textId="2494B471" w:rsidR="002A1864"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6C40E458" w14:textId="0162EF23" w:rsidTr="00F373AF">
        <w:trPr>
          <w:trHeight w:val="425"/>
        </w:trPr>
        <w:tc>
          <w:tcPr>
            <w:tcW w:w="3446" w:type="dxa"/>
          </w:tcPr>
          <w:p w14:paraId="54CECAA9" w14:textId="5AF1003F"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Orders of Service</w:t>
            </w:r>
          </w:p>
        </w:tc>
        <w:tc>
          <w:tcPr>
            <w:tcW w:w="3889" w:type="dxa"/>
            <w:gridSpan w:val="3"/>
          </w:tcPr>
          <w:p w14:paraId="1C41936F" w14:textId="6AA36805"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2 years </w:t>
            </w:r>
          </w:p>
        </w:tc>
        <w:tc>
          <w:tcPr>
            <w:tcW w:w="2324" w:type="dxa"/>
            <w:gridSpan w:val="2"/>
          </w:tcPr>
          <w:p w14:paraId="4B7CC005" w14:textId="77DB2B9D" w:rsidR="002A1864"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A0258A" w:rsidRPr="00F373AF" w14:paraId="606DB96B" w14:textId="0BDF6367" w:rsidTr="00F373AF">
        <w:trPr>
          <w:trHeight w:val="411"/>
        </w:trPr>
        <w:tc>
          <w:tcPr>
            <w:tcW w:w="9659" w:type="dxa"/>
            <w:gridSpan w:val="6"/>
            <w:shd w:val="clear" w:color="auto" w:fill="E7E6E6" w:themeFill="background2"/>
          </w:tcPr>
          <w:p w14:paraId="13F50E5C" w14:textId="5EB891CC" w:rsidR="00A0258A" w:rsidRPr="00F373AF" w:rsidRDefault="00A0258A"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b/>
                <w:color w:val="000000"/>
              </w:rPr>
              <w:t>General Church Administration</w:t>
            </w:r>
          </w:p>
        </w:tc>
      </w:tr>
      <w:tr w:rsidR="00F373AF" w:rsidRPr="00F373AF" w14:paraId="321C65D0" w14:textId="3B348BC8" w:rsidTr="00F373AF">
        <w:trPr>
          <w:trHeight w:val="411"/>
        </w:trPr>
        <w:tc>
          <w:tcPr>
            <w:tcW w:w="3446" w:type="dxa"/>
          </w:tcPr>
          <w:p w14:paraId="6C6F2771" w14:textId="430878CD"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Minutes of Session and General Committee</w:t>
            </w:r>
          </w:p>
        </w:tc>
        <w:tc>
          <w:tcPr>
            <w:tcW w:w="3889" w:type="dxa"/>
            <w:gridSpan w:val="3"/>
          </w:tcPr>
          <w:p w14:paraId="7F4917A1" w14:textId="370F1E06"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Indefinitely </w:t>
            </w:r>
          </w:p>
        </w:tc>
        <w:tc>
          <w:tcPr>
            <w:tcW w:w="2324" w:type="dxa"/>
            <w:gridSpan w:val="2"/>
          </w:tcPr>
          <w:p w14:paraId="69E33F83" w14:textId="2E251AB3" w:rsidR="002A1864"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7B7BDCBD" w14:textId="4E0865D9" w:rsidTr="00F373AF">
        <w:trPr>
          <w:trHeight w:val="411"/>
        </w:trPr>
        <w:tc>
          <w:tcPr>
            <w:tcW w:w="3446" w:type="dxa"/>
          </w:tcPr>
          <w:p w14:paraId="067AACD1" w14:textId="3F8DFF9E"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Electoral Rolls</w:t>
            </w:r>
          </w:p>
        </w:tc>
        <w:tc>
          <w:tcPr>
            <w:tcW w:w="3889" w:type="dxa"/>
            <w:gridSpan w:val="3"/>
          </w:tcPr>
          <w:p w14:paraId="2B446FA5" w14:textId="45942DE9"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Retain last complete review then destroy previous roll. </w:t>
            </w:r>
          </w:p>
        </w:tc>
        <w:tc>
          <w:tcPr>
            <w:tcW w:w="2324" w:type="dxa"/>
            <w:gridSpan w:val="2"/>
          </w:tcPr>
          <w:p w14:paraId="333806D5" w14:textId="607E17D2" w:rsidR="002A1864" w:rsidRPr="00F373AF" w:rsidRDefault="00FC1012"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373AF" w:rsidRPr="00F373AF" w14:paraId="09F86166" w14:textId="77777777" w:rsidTr="00F373AF">
        <w:trPr>
          <w:trHeight w:val="411"/>
        </w:trPr>
        <w:tc>
          <w:tcPr>
            <w:tcW w:w="3446" w:type="dxa"/>
            <w:shd w:val="clear" w:color="auto" w:fill="auto"/>
          </w:tcPr>
          <w:p w14:paraId="3EDC6352" w14:textId="75C26E04" w:rsidR="00A96743" w:rsidRPr="00F373AF" w:rsidRDefault="00A96743"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Voicemail</w:t>
            </w:r>
          </w:p>
        </w:tc>
        <w:tc>
          <w:tcPr>
            <w:tcW w:w="3889" w:type="dxa"/>
            <w:gridSpan w:val="3"/>
            <w:shd w:val="clear" w:color="auto" w:fill="auto"/>
          </w:tcPr>
          <w:p w14:paraId="27DB1F5A" w14:textId="18463265" w:rsidR="00A96743" w:rsidRPr="00F373AF" w:rsidRDefault="00A96743"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Until transcribed or acted upon + 1 month</w:t>
            </w:r>
          </w:p>
        </w:tc>
        <w:tc>
          <w:tcPr>
            <w:tcW w:w="2324" w:type="dxa"/>
            <w:gridSpan w:val="2"/>
            <w:shd w:val="clear" w:color="auto" w:fill="auto"/>
          </w:tcPr>
          <w:p w14:paraId="1C4E7C04" w14:textId="71D90BA0" w:rsidR="00A96743"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2A1864" w:rsidRPr="00F373AF" w14:paraId="10FF7C2C" w14:textId="77777777" w:rsidTr="00F373AF">
        <w:trPr>
          <w:trHeight w:val="411"/>
        </w:trPr>
        <w:tc>
          <w:tcPr>
            <w:tcW w:w="9659" w:type="dxa"/>
            <w:gridSpan w:val="6"/>
            <w:shd w:val="clear" w:color="auto" w:fill="E7E6E6" w:themeFill="background2"/>
          </w:tcPr>
          <w:p w14:paraId="271FFB7C" w14:textId="69DEDD0D" w:rsidR="002A1864" w:rsidRPr="00F373AF" w:rsidRDefault="002A1864" w:rsidP="002A1864">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b/>
                <w:color w:val="000000"/>
              </w:rPr>
              <w:t>Application and Consent forms for Events and Organisations</w:t>
            </w:r>
          </w:p>
        </w:tc>
      </w:tr>
      <w:tr w:rsidR="00F373AF" w:rsidRPr="00F373AF" w14:paraId="3100EC58" w14:textId="77777777" w:rsidTr="00F373AF">
        <w:trPr>
          <w:trHeight w:val="411"/>
        </w:trPr>
        <w:tc>
          <w:tcPr>
            <w:tcW w:w="3446" w:type="dxa"/>
            <w:shd w:val="clear" w:color="auto" w:fill="auto"/>
          </w:tcPr>
          <w:p w14:paraId="15EAE879" w14:textId="35C57DB0" w:rsidR="00B42FEE" w:rsidRPr="00F373AF" w:rsidRDefault="00B42FEE" w:rsidP="00E13859">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 respect of children: for events such as Holiday Bible Club, Church weekends OR forms to register for organisations such as BB, GB, Youth Club, etc.</w:t>
            </w:r>
          </w:p>
        </w:tc>
        <w:tc>
          <w:tcPr>
            <w:tcW w:w="3889" w:type="dxa"/>
            <w:gridSpan w:val="3"/>
            <w:shd w:val="clear" w:color="auto" w:fill="auto"/>
          </w:tcPr>
          <w:p w14:paraId="6FE52C57" w14:textId="6064C87A" w:rsidR="00B42FEE" w:rsidRPr="00F373AF" w:rsidRDefault="00D72F1F" w:rsidP="00D72F1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For membership records and registration forms  - u</w:t>
            </w:r>
            <w:r w:rsidR="00B42FEE" w:rsidRPr="00F373AF">
              <w:rPr>
                <w:rFonts w:ascii="Helvetica" w:hAnsi="Helvetica" w:cs="Calibri"/>
                <w:color w:val="000000"/>
              </w:rPr>
              <w:t>p to 6 years after the event or the child has left the organisation</w:t>
            </w:r>
          </w:p>
        </w:tc>
        <w:tc>
          <w:tcPr>
            <w:tcW w:w="2324" w:type="dxa"/>
            <w:gridSpan w:val="2"/>
            <w:shd w:val="clear" w:color="auto" w:fill="auto"/>
          </w:tcPr>
          <w:p w14:paraId="45E30343" w14:textId="0B31B147" w:rsidR="00B42FEE" w:rsidRPr="00F373AF" w:rsidRDefault="00B42FEE" w:rsidP="00B42FEE">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 accordance with Taking Care guidance</w:t>
            </w:r>
          </w:p>
        </w:tc>
      </w:tr>
      <w:tr w:rsidR="00F373AF" w:rsidRPr="00F373AF" w14:paraId="6D25C502" w14:textId="77777777" w:rsidTr="00F373AF">
        <w:trPr>
          <w:trHeight w:val="411"/>
        </w:trPr>
        <w:tc>
          <w:tcPr>
            <w:tcW w:w="3446" w:type="dxa"/>
            <w:shd w:val="clear" w:color="auto" w:fill="auto"/>
          </w:tcPr>
          <w:p w14:paraId="299DD882" w14:textId="156BCD76" w:rsidR="00B42FEE" w:rsidRPr="00F373AF" w:rsidRDefault="00B42FEE" w:rsidP="00B42FEE">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 respect of adult</w:t>
            </w:r>
            <w:r w:rsidR="002C6DF9" w:rsidRPr="00F373AF">
              <w:rPr>
                <w:rFonts w:ascii="Helvetica" w:hAnsi="Helvetica" w:cs="Calibri"/>
                <w:color w:val="000000"/>
              </w:rPr>
              <w:t xml:space="preserve"> leadership</w:t>
            </w:r>
          </w:p>
        </w:tc>
        <w:tc>
          <w:tcPr>
            <w:tcW w:w="3889" w:type="dxa"/>
            <w:gridSpan w:val="3"/>
            <w:shd w:val="clear" w:color="auto" w:fill="auto"/>
          </w:tcPr>
          <w:p w14:paraId="2787BAB6" w14:textId="654F6B32" w:rsidR="00B42FEE" w:rsidRPr="00F373AF" w:rsidRDefault="00B42FEE" w:rsidP="00E13859">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 the case of an event or organisation pertaining to children – up to 6 years after they have left their position.  Otherwise: Current year +1</w:t>
            </w:r>
          </w:p>
        </w:tc>
        <w:tc>
          <w:tcPr>
            <w:tcW w:w="2324" w:type="dxa"/>
            <w:gridSpan w:val="2"/>
            <w:shd w:val="clear" w:color="auto" w:fill="auto"/>
          </w:tcPr>
          <w:p w14:paraId="1D129689" w14:textId="71743C6E" w:rsidR="00B42FEE" w:rsidRPr="00F373AF" w:rsidRDefault="00B42FEE" w:rsidP="00B42FEE">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In accordance with Taking Care guidance / otherwise as recommended.</w:t>
            </w:r>
          </w:p>
        </w:tc>
      </w:tr>
      <w:tr w:rsidR="00F373AF" w:rsidRPr="00F373AF" w14:paraId="26494762" w14:textId="77777777" w:rsidTr="00F373AF">
        <w:trPr>
          <w:trHeight w:val="411"/>
        </w:trPr>
        <w:tc>
          <w:tcPr>
            <w:tcW w:w="3446" w:type="dxa"/>
            <w:shd w:val="clear" w:color="auto" w:fill="auto"/>
          </w:tcPr>
          <w:p w14:paraId="4F4BB157" w14:textId="1AE529BF" w:rsidR="004219E4" w:rsidRPr="00F373AF" w:rsidRDefault="004219E4" w:rsidP="00B42FEE">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In respect of adult events or organisations </w:t>
            </w:r>
          </w:p>
        </w:tc>
        <w:tc>
          <w:tcPr>
            <w:tcW w:w="3889" w:type="dxa"/>
            <w:gridSpan w:val="3"/>
            <w:shd w:val="clear" w:color="auto" w:fill="auto"/>
          </w:tcPr>
          <w:p w14:paraId="608F20B1" w14:textId="77777777" w:rsidR="004219E4" w:rsidRPr="00F373AF" w:rsidRDefault="004219E4" w:rsidP="00E13859">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For events – up to 1 year</w:t>
            </w:r>
          </w:p>
          <w:p w14:paraId="25DF2BA7" w14:textId="064A1109" w:rsidR="004219E4" w:rsidRPr="00F373AF" w:rsidRDefault="004219E4" w:rsidP="00E13859">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For organisations – up to </w:t>
            </w:r>
            <w:r w:rsidR="00912F72" w:rsidRPr="00F373AF">
              <w:rPr>
                <w:rFonts w:ascii="Helvetica" w:hAnsi="Helvetica" w:cs="Calibri"/>
                <w:color w:val="000000"/>
              </w:rPr>
              <w:t xml:space="preserve">1 year </w:t>
            </w:r>
          </w:p>
        </w:tc>
        <w:tc>
          <w:tcPr>
            <w:tcW w:w="2324" w:type="dxa"/>
            <w:gridSpan w:val="2"/>
            <w:shd w:val="clear" w:color="auto" w:fill="auto"/>
          </w:tcPr>
          <w:p w14:paraId="7D9A5F5C" w14:textId="647C909E" w:rsidR="004219E4" w:rsidRPr="00F373AF" w:rsidRDefault="00CF23CC" w:rsidP="00B42FEE">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576530" w:rsidRPr="00F373AF" w14:paraId="1F973487" w14:textId="77777777" w:rsidTr="00F373AF">
        <w:trPr>
          <w:gridAfter w:val="1"/>
          <w:wAfter w:w="391" w:type="dxa"/>
          <w:trHeight w:val="411"/>
        </w:trPr>
        <w:tc>
          <w:tcPr>
            <w:tcW w:w="3690" w:type="dxa"/>
            <w:gridSpan w:val="2"/>
            <w:shd w:val="clear" w:color="auto" w:fill="E7E6E6" w:themeFill="background2"/>
          </w:tcPr>
          <w:p w14:paraId="68D742F6" w14:textId="77777777" w:rsidR="00576530" w:rsidRPr="00F373AF" w:rsidRDefault="00576530" w:rsidP="00CE46C7">
            <w:pPr>
              <w:widowControl w:val="0"/>
              <w:autoSpaceDE w:val="0"/>
              <w:autoSpaceDN w:val="0"/>
              <w:adjustRightInd w:val="0"/>
              <w:spacing w:before="200" w:line="240" w:lineRule="auto"/>
              <w:rPr>
                <w:rFonts w:ascii="Helvetica" w:hAnsi="Helvetica" w:cs="Calibri"/>
                <w:b/>
                <w:color w:val="000000"/>
              </w:rPr>
            </w:pPr>
            <w:r w:rsidRPr="00F373AF">
              <w:rPr>
                <w:rFonts w:ascii="Helvetica" w:hAnsi="Helvetica" w:cs="Calibri"/>
                <w:b/>
                <w:color w:val="000000"/>
              </w:rPr>
              <w:lastRenderedPageBreak/>
              <w:t>TYPE OF RECORD</w:t>
            </w:r>
          </w:p>
        </w:tc>
        <w:tc>
          <w:tcPr>
            <w:tcW w:w="3093" w:type="dxa"/>
            <w:shd w:val="clear" w:color="auto" w:fill="E7E6E6" w:themeFill="background2"/>
          </w:tcPr>
          <w:p w14:paraId="2530BC26" w14:textId="77777777" w:rsidR="00576530" w:rsidRPr="00F373AF" w:rsidRDefault="00576530" w:rsidP="00CE46C7">
            <w:pPr>
              <w:widowControl w:val="0"/>
              <w:autoSpaceDE w:val="0"/>
              <w:autoSpaceDN w:val="0"/>
              <w:adjustRightInd w:val="0"/>
              <w:spacing w:before="200" w:line="240" w:lineRule="auto"/>
              <w:jc w:val="both"/>
              <w:rPr>
                <w:rFonts w:ascii="Helvetica" w:hAnsi="Helvetica" w:cs="Calibri"/>
                <w:b/>
                <w:color w:val="000000"/>
              </w:rPr>
            </w:pPr>
            <w:r w:rsidRPr="00F373AF">
              <w:rPr>
                <w:rFonts w:ascii="Helvetica" w:hAnsi="Helvetica" w:cs="Calibri"/>
                <w:b/>
                <w:color w:val="000000"/>
              </w:rPr>
              <w:t>RECOMMENDED RETENTION PERIOD</w:t>
            </w:r>
          </w:p>
        </w:tc>
        <w:tc>
          <w:tcPr>
            <w:tcW w:w="2485" w:type="dxa"/>
            <w:gridSpan w:val="2"/>
            <w:shd w:val="clear" w:color="auto" w:fill="E7E6E6" w:themeFill="background2"/>
          </w:tcPr>
          <w:p w14:paraId="59AEBD0B" w14:textId="77777777" w:rsidR="00576530" w:rsidRPr="00F373AF" w:rsidRDefault="00576530" w:rsidP="00CE46C7">
            <w:pPr>
              <w:widowControl w:val="0"/>
              <w:autoSpaceDE w:val="0"/>
              <w:autoSpaceDN w:val="0"/>
              <w:adjustRightInd w:val="0"/>
              <w:spacing w:before="200" w:line="240" w:lineRule="auto"/>
              <w:jc w:val="both"/>
              <w:rPr>
                <w:rFonts w:ascii="Helvetica" w:hAnsi="Helvetica" w:cs="Calibri"/>
                <w:b/>
                <w:color w:val="000000"/>
              </w:rPr>
            </w:pPr>
            <w:r w:rsidRPr="00F373AF">
              <w:rPr>
                <w:rFonts w:ascii="Helvetica" w:hAnsi="Helvetica" w:cs="Calibri"/>
                <w:b/>
                <w:color w:val="000000"/>
              </w:rPr>
              <w:t>BASIS</w:t>
            </w:r>
          </w:p>
        </w:tc>
      </w:tr>
      <w:tr w:rsidR="00B748D5" w:rsidRPr="00F373AF" w14:paraId="6BF43AC6" w14:textId="77777777" w:rsidTr="00F373AF">
        <w:trPr>
          <w:gridAfter w:val="1"/>
          <w:wAfter w:w="391" w:type="dxa"/>
          <w:trHeight w:val="411"/>
        </w:trPr>
        <w:tc>
          <w:tcPr>
            <w:tcW w:w="9268" w:type="dxa"/>
            <w:gridSpan w:val="5"/>
            <w:shd w:val="clear" w:color="auto" w:fill="E7E6E6" w:themeFill="background2"/>
          </w:tcPr>
          <w:p w14:paraId="14646E9D" w14:textId="7E1DAE90" w:rsidR="00B748D5" w:rsidRPr="00F373AF" w:rsidRDefault="00B748D5" w:rsidP="00806981">
            <w:pPr>
              <w:widowControl w:val="0"/>
              <w:autoSpaceDE w:val="0"/>
              <w:autoSpaceDN w:val="0"/>
              <w:adjustRightInd w:val="0"/>
              <w:spacing w:before="120" w:line="240" w:lineRule="auto"/>
              <w:jc w:val="both"/>
              <w:rPr>
                <w:rFonts w:ascii="Helvetica" w:hAnsi="Helvetica" w:cs="Calibri"/>
                <w:color w:val="000000"/>
              </w:rPr>
            </w:pPr>
            <w:r w:rsidRPr="00F373AF">
              <w:rPr>
                <w:rFonts w:ascii="Helvetica" w:hAnsi="Helvetica" w:cs="Calibri"/>
                <w:b/>
                <w:color w:val="000000"/>
              </w:rPr>
              <w:t>Recruitment and Employment</w:t>
            </w:r>
          </w:p>
        </w:tc>
      </w:tr>
      <w:tr w:rsidR="00FC1012" w:rsidRPr="00F373AF" w14:paraId="166E4A18" w14:textId="77777777" w:rsidTr="00F373AF">
        <w:trPr>
          <w:gridAfter w:val="1"/>
          <w:wAfter w:w="391" w:type="dxa"/>
          <w:trHeight w:val="652"/>
        </w:trPr>
        <w:tc>
          <w:tcPr>
            <w:tcW w:w="3690" w:type="dxa"/>
            <w:gridSpan w:val="2"/>
          </w:tcPr>
          <w:p w14:paraId="137FB18C"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Application forms, CVs and other records from unsuccessful applicants.</w:t>
            </w:r>
          </w:p>
        </w:tc>
        <w:tc>
          <w:tcPr>
            <w:tcW w:w="3093" w:type="dxa"/>
          </w:tcPr>
          <w:p w14:paraId="24CB05D4"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One year after applicant is informed of outcome.</w:t>
            </w:r>
          </w:p>
        </w:tc>
        <w:tc>
          <w:tcPr>
            <w:tcW w:w="2485" w:type="dxa"/>
            <w:gridSpan w:val="2"/>
          </w:tcPr>
          <w:p w14:paraId="1BAB51D0" w14:textId="50EFDD68"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1AE28945" w14:textId="77777777" w:rsidTr="00F373AF">
        <w:trPr>
          <w:gridAfter w:val="1"/>
          <w:wAfter w:w="391" w:type="dxa"/>
          <w:trHeight w:val="637"/>
        </w:trPr>
        <w:tc>
          <w:tcPr>
            <w:tcW w:w="3690" w:type="dxa"/>
            <w:gridSpan w:val="2"/>
          </w:tcPr>
          <w:p w14:paraId="201D30AB"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Application forms, CVs and other records from successful applicants.</w:t>
            </w:r>
          </w:p>
        </w:tc>
        <w:tc>
          <w:tcPr>
            <w:tcW w:w="3093" w:type="dxa"/>
          </w:tcPr>
          <w:p w14:paraId="1AE0E192"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3 years from the date of recruitment.</w:t>
            </w:r>
          </w:p>
        </w:tc>
        <w:tc>
          <w:tcPr>
            <w:tcW w:w="2485" w:type="dxa"/>
            <w:gridSpan w:val="2"/>
          </w:tcPr>
          <w:p w14:paraId="403A6286" w14:textId="1D0DB8D9"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459E8FEA" w14:textId="77777777" w:rsidTr="00F373AF">
        <w:trPr>
          <w:gridAfter w:val="1"/>
          <w:wAfter w:w="391" w:type="dxa"/>
          <w:trHeight w:val="425"/>
        </w:trPr>
        <w:tc>
          <w:tcPr>
            <w:tcW w:w="3690" w:type="dxa"/>
            <w:gridSpan w:val="2"/>
          </w:tcPr>
          <w:p w14:paraId="7FB8E6B1"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Appraisal records, performance reviews etc.</w:t>
            </w:r>
          </w:p>
        </w:tc>
        <w:tc>
          <w:tcPr>
            <w:tcW w:w="3093" w:type="dxa"/>
          </w:tcPr>
          <w:p w14:paraId="73771134" w14:textId="32791D0C" w:rsidR="00FC1012"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5 </w:t>
            </w:r>
            <w:r w:rsidR="00FC1012" w:rsidRPr="00F373AF">
              <w:rPr>
                <w:rFonts w:ascii="Helvetica" w:hAnsi="Helvetica" w:cs="Calibri"/>
                <w:color w:val="000000"/>
              </w:rPr>
              <w:t>years after the employee has left the Organisation.</w:t>
            </w:r>
          </w:p>
        </w:tc>
        <w:tc>
          <w:tcPr>
            <w:tcW w:w="2485" w:type="dxa"/>
            <w:gridSpan w:val="2"/>
          </w:tcPr>
          <w:p w14:paraId="39DBF04D" w14:textId="6B5C2262"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4D9ACC31" w14:textId="77777777" w:rsidTr="00F373AF">
        <w:trPr>
          <w:gridAfter w:val="1"/>
          <w:wAfter w:w="391" w:type="dxa"/>
          <w:trHeight w:val="411"/>
        </w:trPr>
        <w:tc>
          <w:tcPr>
            <w:tcW w:w="3690" w:type="dxa"/>
            <w:gridSpan w:val="2"/>
          </w:tcPr>
          <w:p w14:paraId="6F03EAF5"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Details of injuries or accident reports</w:t>
            </w:r>
          </w:p>
        </w:tc>
        <w:tc>
          <w:tcPr>
            <w:tcW w:w="3093" w:type="dxa"/>
          </w:tcPr>
          <w:p w14:paraId="0459A8E0" w14:textId="489FFF50" w:rsidR="00FC1012"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5 </w:t>
            </w:r>
            <w:r w:rsidR="00FC1012" w:rsidRPr="00F373AF">
              <w:rPr>
                <w:rFonts w:ascii="Helvetica" w:hAnsi="Helvetica" w:cs="Calibri"/>
                <w:color w:val="000000"/>
              </w:rPr>
              <w:t>years from the date of the incident.</w:t>
            </w:r>
          </w:p>
        </w:tc>
        <w:tc>
          <w:tcPr>
            <w:tcW w:w="2485" w:type="dxa"/>
            <w:gridSpan w:val="2"/>
          </w:tcPr>
          <w:p w14:paraId="7EB05431" w14:textId="3D1287B0"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6C54CFA7" w14:textId="77777777" w:rsidTr="00F373AF">
        <w:trPr>
          <w:gridAfter w:val="1"/>
          <w:wAfter w:w="391" w:type="dxa"/>
          <w:trHeight w:val="652"/>
        </w:trPr>
        <w:tc>
          <w:tcPr>
            <w:tcW w:w="3690" w:type="dxa"/>
            <w:gridSpan w:val="2"/>
          </w:tcPr>
          <w:p w14:paraId="46985F53"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Employment records, details of terms and conditions and disciplinary records</w:t>
            </w:r>
          </w:p>
        </w:tc>
        <w:tc>
          <w:tcPr>
            <w:tcW w:w="3093" w:type="dxa"/>
          </w:tcPr>
          <w:p w14:paraId="5E8DBFBA" w14:textId="0AEC4CCC" w:rsidR="00FC1012"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5 </w:t>
            </w:r>
            <w:r w:rsidR="00FC1012" w:rsidRPr="00F373AF">
              <w:rPr>
                <w:rFonts w:ascii="Helvetica" w:hAnsi="Helvetica" w:cs="Calibri"/>
                <w:color w:val="000000"/>
              </w:rPr>
              <w:t>years after the employee has left the Organisation.</w:t>
            </w:r>
          </w:p>
        </w:tc>
        <w:tc>
          <w:tcPr>
            <w:tcW w:w="2485" w:type="dxa"/>
            <w:gridSpan w:val="2"/>
          </w:tcPr>
          <w:p w14:paraId="7F0134D5" w14:textId="264AEA21"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5B1DFB9A" w14:textId="77777777" w:rsidTr="00F373AF">
        <w:trPr>
          <w:gridAfter w:val="1"/>
          <w:wAfter w:w="391" w:type="dxa"/>
          <w:trHeight w:val="411"/>
        </w:trPr>
        <w:tc>
          <w:tcPr>
            <w:tcW w:w="3690" w:type="dxa"/>
            <w:gridSpan w:val="2"/>
          </w:tcPr>
          <w:p w14:paraId="0CAF38AD"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Health and Safety Assessments</w:t>
            </w:r>
          </w:p>
        </w:tc>
        <w:tc>
          <w:tcPr>
            <w:tcW w:w="3093" w:type="dxa"/>
          </w:tcPr>
          <w:p w14:paraId="391DF3D4"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40 years from the date of the assessment.</w:t>
            </w:r>
          </w:p>
        </w:tc>
        <w:tc>
          <w:tcPr>
            <w:tcW w:w="2485" w:type="dxa"/>
            <w:gridSpan w:val="2"/>
          </w:tcPr>
          <w:p w14:paraId="4D1FE195" w14:textId="2304BA6C"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67C5AF15" w14:textId="77777777" w:rsidTr="00F373AF">
        <w:trPr>
          <w:gridAfter w:val="1"/>
          <w:wAfter w:w="391" w:type="dxa"/>
          <w:trHeight w:val="411"/>
        </w:trPr>
        <w:tc>
          <w:tcPr>
            <w:tcW w:w="3690" w:type="dxa"/>
            <w:gridSpan w:val="2"/>
          </w:tcPr>
          <w:p w14:paraId="284A210F"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Pay and benefits information</w:t>
            </w:r>
          </w:p>
        </w:tc>
        <w:tc>
          <w:tcPr>
            <w:tcW w:w="3093" w:type="dxa"/>
          </w:tcPr>
          <w:p w14:paraId="3EE2F552" w14:textId="07709130" w:rsidR="00FC1012"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5 </w:t>
            </w:r>
            <w:r w:rsidR="00FC1012" w:rsidRPr="00F373AF">
              <w:rPr>
                <w:rFonts w:ascii="Helvetica" w:hAnsi="Helvetica" w:cs="Calibri"/>
                <w:color w:val="000000"/>
              </w:rPr>
              <w:t>years after the employee has left the Organisation.</w:t>
            </w:r>
          </w:p>
        </w:tc>
        <w:tc>
          <w:tcPr>
            <w:tcW w:w="2485" w:type="dxa"/>
            <w:gridSpan w:val="2"/>
          </w:tcPr>
          <w:p w14:paraId="23EA1F76" w14:textId="047E8AA6"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52E41183" w14:textId="77777777" w:rsidTr="00F373AF">
        <w:trPr>
          <w:gridAfter w:val="1"/>
          <w:wAfter w:w="391" w:type="dxa"/>
          <w:trHeight w:val="411"/>
        </w:trPr>
        <w:tc>
          <w:tcPr>
            <w:tcW w:w="3690" w:type="dxa"/>
            <w:gridSpan w:val="2"/>
          </w:tcPr>
          <w:p w14:paraId="25DAA1D5" w14:textId="77777777"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Training records</w:t>
            </w:r>
          </w:p>
        </w:tc>
        <w:tc>
          <w:tcPr>
            <w:tcW w:w="3093" w:type="dxa"/>
          </w:tcPr>
          <w:p w14:paraId="4F7F1CC1" w14:textId="0599BC3A" w:rsidR="00FC1012" w:rsidRPr="00F373AF" w:rsidRDefault="00A96743"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 xml:space="preserve">5 </w:t>
            </w:r>
            <w:r w:rsidR="00FC1012" w:rsidRPr="00F373AF">
              <w:rPr>
                <w:rFonts w:ascii="Helvetica" w:hAnsi="Helvetica" w:cs="Calibri"/>
                <w:color w:val="000000"/>
              </w:rPr>
              <w:t>years after the employee has left the Organisation.</w:t>
            </w:r>
          </w:p>
        </w:tc>
        <w:tc>
          <w:tcPr>
            <w:tcW w:w="2485" w:type="dxa"/>
            <w:gridSpan w:val="2"/>
          </w:tcPr>
          <w:p w14:paraId="5A7EF0AD" w14:textId="75D6C034" w:rsidR="00FC1012" w:rsidRPr="00F373AF" w:rsidRDefault="00FC1012" w:rsidP="00FC1012">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B748D5" w:rsidRPr="00F373AF" w14:paraId="6A0A1740" w14:textId="77777777" w:rsidTr="00F373AF">
        <w:trPr>
          <w:gridAfter w:val="1"/>
          <w:wAfter w:w="391" w:type="dxa"/>
          <w:trHeight w:val="411"/>
        </w:trPr>
        <w:tc>
          <w:tcPr>
            <w:tcW w:w="9268" w:type="dxa"/>
            <w:gridSpan w:val="5"/>
            <w:shd w:val="clear" w:color="auto" w:fill="E7E6E6" w:themeFill="background2"/>
          </w:tcPr>
          <w:p w14:paraId="1157A2B8" w14:textId="77CBDCBB" w:rsidR="00B748D5" w:rsidRPr="00F373AF" w:rsidRDefault="00B748D5" w:rsidP="00806981">
            <w:pPr>
              <w:widowControl w:val="0"/>
              <w:autoSpaceDE w:val="0"/>
              <w:autoSpaceDN w:val="0"/>
              <w:adjustRightInd w:val="0"/>
              <w:spacing w:before="120" w:line="240" w:lineRule="auto"/>
              <w:jc w:val="both"/>
              <w:rPr>
                <w:rFonts w:ascii="Helvetica" w:hAnsi="Helvetica" w:cs="Calibri"/>
                <w:b/>
                <w:color w:val="000000"/>
              </w:rPr>
            </w:pPr>
            <w:r w:rsidRPr="00F373AF">
              <w:rPr>
                <w:rFonts w:ascii="Helvetica" w:hAnsi="Helvetica" w:cs="Calibri"/>
                <w:b/>
                <w:color w:val="000000"/>
              </w:rPr>
              <w:t>Pastoral Care, Safeguarding and Health and Safety</w:t>
            </w:r>
          </w:p>
        </w:tc>
      </w:tr>
      <w:tr w:rsidR="00A0258A" w:rsidRPr="00F373AF" w14:paraId="7779E40C" w14:textId="77777777" w:rsidTr="00F373AF">
        <w:trPr>
          <w:gridAfter w:val="1"/>
          <w:wAfter w:w="391" w:type="dxa"/>
          <w:trHeight w:val="411"/>
        </w:trPr>
        <w:tc>
          <w:tcPr>
            <w:tcW w:w="3690" w:type="dxa"/>
            <w:gridSpan w:val="2"/>
            <w:shd w:val="clear" w:color="auto" w:fill="auto"/>
          </w:tcPr>
          <w:p w14:paraId="27F8B0D0" w14:textId="6189FF55" w:rsidR="00A0258A" w:rsidRPr="00F373AF" w:rsidRDefault="00A0258A"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Pastoral visitation notes and records</w:t>
            </w:r>
          </w:p>
        </w:tc>
        <w:tc>
          <w:tcPr>
            <w:tcW w:w="3093" w:type="dxa"/>
            <w:shd w:val="clear" w:color="auto" w:fill="auto"/>
          </w:tcPr>
          <w:p w14:paraId="0AA3E61F" w14:textId="7BEE2C19" w:rsidR="00A0258A" w:rsidRPr="00F373AF" w:rsidRDefault="0083731E"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3 years after the member has left the congregation</w:t>
            </w:r>
          </w:p>
        </w:tc>
        <w:tc>
          <w:tcPr>
            <w:tcW w:w="2485" w:type="dxa"/>
            <w:gridSpan w:val="2"/>
            <w:shd w:val="clear" w:color="auto" w:fill="auto"/>
          </w:tcPr>
          <w:p w14:paraId="4CBFDC79" w14:textId="4AC795EF" w:rsidR="00A0258A" w:rsidRPr="00F373AF" w:rsidRDefault="0083731E"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53CA1D04" w14:textId="77777777" w:rsidTr="00F373AF">
        <w:trPr>
          <w:gridAfter w:val="1"/>
          <w:wAfter w:w="391" w:type="dxa"/>
          <w:trHeight w:val="411"/>
        </w:trPr>
        <w:tc>
          <w:tcPr>
            <w:tcW w:w="3690" w:type="dxa"/>
            <w:gridSpan w:val="2"/>
            <w:shd w:val="clear" w:color="auto" w:fill="auto"/>
          </w:tcPr>
          <w:p w14:paraId="615EFC70" w14:textId="5D86FFAE"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Accident reporting sheets or book – if relating to adults</w:t>
            </w:r>
          </w:p>
        </w:tc>
        <w:tc>
          <w:tcPr>
            <w:tcW w:w="3093" w:type="dxa"/>
            <w:shd w:val="clear" w:color="auto" w:fill="auto"/>
          </w:tcPr>
          <w:p w14:paraId="14075066" w14:textId="0C6AA313"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Date of incident + 15 years</w:t>
            </w:r>
          </w:p>
        </w:tc>
        <w:tc>
          <w:tcPr>
            <w:tcW w:w="2485" w:type="dxa"/>
            <w:gridSpan w:val="2"/>
            <w:shd w:val="clear" w:color="auto" w:fill="auto"/>
          </w:tcPr>
          <w:p w14:paraId="448F9814" w14:textId="4A988180" w:rsidR="00FC1012" w:rsidRPr="00F373AF" w:rsidRDefault="00715FB6"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 - in case of need to review and also re potential litigation</w:t>
            </w:r>
            <w:r w:rsidRPr="00F373AF" w:rsidDel="008D1057">
              <w:rPr>
                <w:rFonts w:ascii="Helvetica" w:hAnsi="Helvetica" w:cs="Calibri"/>
                <w:color w:val="000000"/>
              </w:rPr>
              <w:t xml:space="preserve"> </w:t>
            </w:r>
          </w:p>
        </w:tc>
      </w:tr>
      <w:tr w:rsidR="00FC1012" w:rsidRPr="00F373AF" w14:paraId="29DF8701" w14:textId="77777777" w:rsidTr="00F373AF">
        <w:trPr>
          <w:gridAfter w:val="1"/>
          <w:wAfter w:w="391" w:type="dxa"/>
          <w:trHeight w:val="411"/>
        </w:trPr>
        <w:tc>
          <w:tcPr>
            <w:tcW w:w="3690" w:type="dxa"/>
            <w:gridSpan w:val="2"/>
            <w:shd w:val="clear" w:color="auto" w:fill="auto"/>
          </w:tcPr>
          <w:p w14:paraId="1921ECC5" w14:textId="48BAC405"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Accident reporting sheets or book – if relating to children</w:t>
            </w:r>
          </w:p>
        </w:tc>
        <w:tc>
          <w:tcPr>
            <w:tcW w:w="3093" w:type="dxa"/>
            <w:shd w:val="clear" w:color="auto" w:fill="auto"/>
          </w:tcPr>
          <w:p w14:paraId="4585005B" w14:textId="57ACFA05"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Date of incident + 15 years or until the child turns 21 (whichever is the later)</w:t>
            </w:r>
          </w:p>
        </w:tc>
        <w:tc>
          <w:tcPr>
            <w:tcW w:w="2485" w:type="dxa"/>
            <w:gridSpan w:val="2"/>
            <w:shd w:val="clear" w:color="auto" w:fill="auto"/>
          </w:tcPr>
          <w:p w14:paraId="1A6B8524" w14:textId="22006896" w:rsidR="00FC1012" w:rsidRPr="00F373AF" w:rsidRDefault="00715FB6"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 - in case of need to review and also re potential litigation</w:t>
            </w:r>
          </w:p>
        </w:tc>
      </w:tr>
      <w:tr w:rsidR="00FC1012" w:rsidRPr="00F373AF" w14:paraId="065F8DC5" w14:textId="77777777" w:rsidTr="00F373AF">
        <w:trPr>
          <w:gridAfter w:val="1"/>
          <w:wAfter w:w="391" w:type="dxa"/>
          <w:trHeight w:val="411"/>
        </w:trPr>
        <w:tc>
          <w:tcPr>
            <w:tcW w:w="3690" w:type="dxa"/>
            <w:gridSpan w:val="2"/>
            <w:shd w:val="clear" w:color="auto" w:fill="auto"/>
          </w:tcPr>
          <w:p w14:paraId="5F41ECFE" w14:textId="2C308480"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Records of other safeguarding adult or child protection incidents either within the parish or within a family/ by an individual where the Parish was the reporting body or involved in care or monitoring plans.</w:t>
            </w:r>
          </w:p>
        </w:tc>
        <w:tc>
          <w:tcPr>
            <w:tcW w:w="3093" w:type="dxa"/>
            <w:shd w:val="clear" w:color="auto" w:fill="auto"/>
          </w:tcPr>
          <w:p w14:paraId="7F2DA822" w14:textId="424A7BAE"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50 years after the conclusion of the matter</w:t>
            </w:r>
          </w:p>
        </w:tc>
        <w:tc>
          <w:tcPr>
            <w:tcW w:w="2485" w:type="dxa"/>
            <w:gridSpan w:val="2"/>
            <w:shd w:val="clear" w:color="auto" w:fill="auto"/>
          </w:tcPr>
          <w:p w14:paraId="159814B8" w14:textId="04B90302"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r w:rsidR="00FC1012" w:rsidRPr="00F373AF" w14:paraId="0B751DC8" w14:textId="77777777" w:rsidTr="00F373AF">
        <w:trPr>
          <w:gridAfter w:val="1"/>
          <w:wAfter w:w="391" w:type="dxa"/>
          <w:trHeight w:val="411"/>
        </w:trPr>
        <w:tc>
          <w:tcPr>
            <w:tcW w:w="3690" w:type="dxa"/>
            <w:gridSpan w:val="2"/>
            <w:shd w:val="clear" w:color="auto" w:fill="auto"/>
          </w:tcPr>
          <w:p w14:paraId="28E1FD76" w14:textId="48B52643"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Records of any children’s activities and related general safety risk assessments. Any communication from parents or other parties in relation to the above.</w:t>
            </w:r>
          </w:p>
        </w:tc>
        <w:tc>
          <w:tcPr>
            <w:tcW w:w="3093" w:type="dxa"/>
            <w:shd w:val="clear" w:color="auto" w:fill="auto"/>
          </w:tcPr>
          <w:p w14:paraId="00C55F5A" w14:textId="629E485F" w:rsidR="00FC1012" w:rsidRPr="00F373AF" w:rsidRDefault="00F6260E"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Current year + 2</w:t>
            </w:r>
            <w:r w:rsidR="00FC1012" w:rsidRPr="00F373AF">
              <w:rPr>
                <w:rFonts w:ascii="Helvetica" w:hAnsi="Helvetica" w:cs="Calibri"/>
                <w:color w:val="000000"/>
              </w:rPr>
              <w:t xml:space="preserve">0 </w:t>
            </w:r>
            <w:r w:rsidRPr="00F373AF">
              <w:rPr>
                <w:rFonts w:ascii="Helvetica" w:hAnsi="Helvetica" w:cs="Calibri"/>
                <w:color w:val="000000"/>
              </w:rPr>
              <w:t xml:space="preserve">years </w:t>
            </w:r>
          </w:p>
        </w:tc>
        <w:tc>
          <w:tcPr>
            <w:tcW w:w="2485" w:type="dxa"/>
            <w:gridSpan w:val="2"/>
            <w:shd w:val="clear" w:color="auto" w:fill="auto"/>
          </w:tcPr>
          <w:p w14:paraId="2EE7BE1D" w14:textId="7BAF2856" w:rsidR="00FC1012" w:rsidRPr="00F373AF" w:rsidRDefault="00FC1012" w:rsidP="00F373AF">
            <w:pPr>
              <w:widowControl w:val="0"/>
              <w:autoSpaceDE w:val="0"/>
              <w:autoSpaceDN w:val="0"/>
              <w:adjustRightInd w:val="0"/>
              <w:spacing w:before="120" w:line="240" w:lineRule="auto"/>
              <w:rPr>
                <w:rFonts w:ascii="Helvetica" w:hAnsi="Helvetica" w:cs="Calibri"/>
                <w:color w:val="000000"/>
              </w:rPr>
            </w:pPr>
            <w:r w:rsidRPr="00F373AF">
              <w:rPr>
                <w:rFonts w:ascii="Helvetica" w:hAnsi="Helvetica" w:cs="Calibri"/>
                <w:color w:val="000000"/>
              </w:rPr>
              <w:t>Recommended</w:t>
            </w:r>
          </w:p>
        </w:tc>
      </w:tr>
    </w:tbl>
    <w:p w14:paraId="5643CC8C" w14:textId="77777777" w:rsidR="00F27022" w:rsidRPr="00F373AF" w:rsidRDefault="00F27022" w:rsidP="00F27022">
      <w:pPr>
        <w:keepNext/>
        <w:tabs>
          <w:tab w:val="num" w:pos="0"/>
        </w:tabs>
        <w:spacing w:after="160" w:line="259" w:lineRule="auto"/>
        <w:outlineLvl w:val="2"/>
        <w:rPr>
          <w:rFonts w:ascii="Helvetica" w:eastAsia="Calibri" w:hAnsi="Helvetica" w:cs="Calibri"/>
          <w:b/>
          <w:lang w:eastAsia="en-GB"/>
        </w:rPr>
      </w:pPr>
    </w:p>
    <w:p w14:paraId="33ECA67F" w14:textId="73BD4664" w:rsidR="00AA403D" w:rsidRPr="00F373AF" w:rsidRDefault="00B748D5" w:rsidP="007471AF">
      <w:pPr>
        <w:keepNext/>
        <w:tabs>
          <w:tab w:val="num" w:pos="0"/>
        </w:tabs>
        <w:spacing w:after="160" w:line="259" w:lineRule="auto"/>
        <w:outlineLvl w:val="2"/>
        <w:rPr>
          <w:rFonts w:ascii="Helvetica" w:eastAsia="Calibri" w:hAnsi="Helvetica" w:cs="Calibri"/>
          <w:b/>
          <w:lang w:eastAsia="en-GB"/>
        </w:rPr>
      </w:pPr>
      <w:r w:rsidRPr="00F373AF">
        <w:rPr>
          <w:rFonts w:ascii="Helvetica" w:eastAsia="Calibri" w:hAnsi="Helvetica" w:cs="Calibri"/>
          <w:b/>
          <w:lang w:eastAsia="en-GB"/>
        </w:rPr>
        <w:t>Please note that the timeframes in the table above are designed to be a rough guide and are based on a number of factors (such as ensuring that the limitation period for taking an action to which the documents would be relevant has passed). In all cases documentation is to be retained for as long as it is reasonably necessary to ho</w:t>
      </w:r>
      <w:bookmarkStart w:id="0" w:name="_GoBack"/>
      <w:bookmarkEnd w:id="0"/>
      <w:r w:rsidRPr="00F373AF">
        <w:rPr>
          <w:rFonts w:ascii="Helvetica" w:eastAsia="Calibri" w:hAnsi="Helvetica" w:cs="Calibri"/>
          <w:b/>
          <w:lang w:eastAsia="en-GB"/>
        </w:rPr>
        <w:t>ld it and not any longer than this.</w:t>
      </w:r>
    </w:p>
    <w:p w14:paraId="34E10585" w14:textId="77777777" w:rsidR="00B748D5" w:rsidRPr="00F373AF" w:rsidRDefault="00B748D5" w:rsidP="00B748D5">
      <w:pPr>
        <w:keepNext/>
        <w:tabs>
          <w:tab w:val="num" w:pos="0"/>
        </w:tabs>
        <w:spacing w:after="160" w:line="259" w:lineRule="auto"/>
        <w:outlineLvl w:val="2"/>
        <w:rPr>
          <w:rFonts w:ascii="Helvetica" w:eastAsia="Calibri" w:hAnsi="Helvetica" w:cs="Calibri"/>
          <w:b/>
          <w:lang w:eastAsia="en-GB"/>
        </w:rPr>
      </w:pPr>
    </w:p>
    <w:sectPr w:rsidR="00B748D5" w:rsidRPr="00F373AF" w:rsidSect="00D72F1F">
      <w:headerReference w:type="default" r:id="rId9"/>
      <w:pgSz w:w="11906" w:h="16838"/>
      <w:pgMar w:top="1170" w:right="1440" w:bottom="117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D262" w14:textId="77777777" w:rsidR="00CD741E" w:rsidRDefault="00CD741E" w:rsidP="00F373AF">
      <w:pPr>
        <w:spacing w:line="240" w:lineRule="auto"/>
      </w:pPr>
      <w:r>
        <w:separator/>
      </w:r>
    </w:p>
  </w:endnote>
  <w:endnote w:type="continuationSeparator" w:id="0">
    <w:p w14:paraId="56B70989" w14:textId="77777777" w:rsidR="00CD741E" w:rsidRDefault="00CD741E" w:rsidP="00F37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4AF83" w14:textId="77777777" w:rsidR="00CD741E" w:rsidRDefault="00CD741E" w:rsidP="00F373AF">
      <w:pPr>
        <w:spacing w:line="240" w:lineRule="auto"/>
      </w:pPr>
      <w:r>
        <w:separator/>
      </w:r>
    </w:p>
  </w:footnote>
  <w:footnote w:type="continuationSeparator" w:id="0">
    <w:p w14:paraId="4BFDA71C" w14:textId="77777777" w:rsidR="00CD741E" w:rsidRDefault="00CD741E" w:rsidP="00F373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1F86" w14:textId="5D5A6356" w:rsidR="00F373AF" w:rsidRDefault="00F373AF">
    <w:pPr>
      <w:pStyle w:val="Header"/>
    </w:pPr>
    <w:r>
      <w:rPr>
        <w:noProof/>
        <w:lang w:val="en-US"/>
      </w:rPr>
      <w:drawing>
        <wp:inline distT="0" distB="0" distL="0" distR="0" wp14:anchorId="6FA1D340" wp14:editId="2E322581">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5A4CD15A" w14:textId="77777777" w:rsidR="00F373AF" w:rsidRDefault="00F373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46CB" w14:textId="77777777" w:rsidR="00F373AF" w:rsidRDefault="00F373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337353"/>
    <w:multiLevelType w:val="singleLevel"/>
    <w:tmpl w:val="FA0AAB8F"/>
    <w:lvl w:ilvl="0">
      <w:numFmt w:val="decimal"/>
      <w:lvlText w:val="•"/>
      <w:lvlJc w:val="left"/>
    </w:lvl>
  </w:abstractNum>
  <w:abstractNum w:abstractNumId="1">
    <w:nsid w:val="8061F811"/>
    <w:multiLevelType w:val="singleLevel"/>
    <w:tmpl w:val="03B733A1"/>
    <w:lvl w:ilvl="0">
      <w:numFmt w:val="decimal"/>
      <w:lvlText w:val="•"/>
      <w:lvlJc w:val="left"/>
    </w:lvl>
  </w:abstractNum>
  <w:abstractNum w:abstractNumId="2">
    <w:nsid w:val="8A5A3837"/>
    <w:multiLevelType w:val="singleLevel"/>
    <w:tmpl w:val="F3FE7D37"/>
    <w:lvl w:ilvl="0">
      <w:numFmt w:val="decimal"/>
      <w:lvlText w:val="•"/>
      <w:lvlJc w:val="left"/>
    </w:lvl>
  </w:abstractNum>
  <w:abstractNum w:abstractNumId="3">
    <w:nsid w:val="AA2F676C"/>
    <w:multiLevelType w:val="singleLevel"/>
    <w:tmpl w:val="DBED713A"/>
    <w:lvl w:ilvl="0">
      <w:numFmt w:val="decimal"/>
      <w:lvlText w:val="•"/>
      <w:lvlJc w:val="left"/>
    </w:lvl>
  </w:abstractNum>
  <w:abstractNum w:abstractNumId="4">
    <w:nsid w:val="B041CB1A"/>
    <w:multiLevelType w:val="singleLevel"/>
    <w:tmpl w:val="B879819C"/>
    <w:lvl w:ilvl="0">
      <w:numFmt w:val="decimal"/>
      <w:lvlText w:val="•"/>
      <w:lvlJc w:val="left"/>
    </w:lvl>
  </w:abstractNum>
  <w:abstractNum w:abstractNumId="5">
    <w:nsid w:val="C1091C18"/>
    <w:multiLevelType w:val="singleLevel"/>
    <w:tmpl w:val="9CC3B71F"/>
    <w:lvl w:ilvl="0">
      <w:numFmt w:val="decimal"/>
      <w:lvlText w:val="•"/>
      <w:lvlJc w:val="left"/>
    </w:lvl>
  </w:abstractNum>
  <w:abstractNum w:abstractNumId="6">
    <w:nsid w:val="CB1B52F0"/>
    <w:multiLevelType w:val="singleLevel"/>
    <w:tmpl w:val="47A20CC8"/>
    <w:lvl w:ilvl="0">
      <w:numFmt w:val="decimal"/>
      <w:lvlText w:val="•"/>
      <w:lvlJc w:val="left"/>
    </w:lvl>
  </w:abstractNum>
  <w:abstractNum w:abstractNumId="7">
    <w:nsid w:val="D429FA94"/>
    <w:multiLevelType w:val="singleLevel"/>
    <w:tmpl w:val="90E4A954"/>
    <w:lvl w:ilvl="0">
      <w:numFmt w:val="decimal"/>
      <w:lvlText w:val="•"/>
      <w:lvlJc w:val="left"/>
    </w:lvl>
  </w:abstractNum>
  <w:abstractNum w:abstractNumId="8">
    <w:nsid w:val="D7580D4C"/>
    <w:multiLevelType w:val="singleLevel"/>
    <w:tmpl w:val="D5BF8075"/>
    <w:lvl w:ilvl="0">
      <w:numFmt w:val="decimal"/>
      <w:lvlText w:val="•"/>
      <w:lvlJc w:val="left"/>
    </w:lvl>
  </w:abstractNum>
  <w:abstractNum w:abstractNumId="9">
    <w:nsid w:val="E2C223C0"/>
    <w:multiLevelType w:val="singleLevel"/>
    <w:tmpl w:val="E8D0579C"/>
    <w:lvl w:ilvl="0">
      <w:numFmt w:val="decimal"/>
      <w:lvlText w:val="•"/>
      <w:lvlJc w:val="left"/>
    </w:lvl>
  </w:abstractNum>
  <w:abstractNum w:abstractNumId="10">
    <w:nsid w:val="E7FB13E8"/>
    <w:multiLevelType w:val="singleLevel"/>
    <w:tmpl w:val="417AA9F9"/>
    <w:lvl w:ilvl="0">
      <w:numFmt w:val="decimal"/>
      <w:lvlText w:val="•"/>
      <w:lvlJc w:val="left"/>
    </w:lvl>
  </w:abstractNum>
  <w:abstractNum w:abstractNumId="11">
    <w:nsid w:val="F8E08A4C"/>
    <w:multiLevelType w:val="singleLevel"/>
    <w:tmpl w:val="45545C43"/>
    <w:lvl w:ilvl="0">
      <w:numFmt w:val="decimal"/>
      <w:lvlText w:val="•"/>
      <w:lvlJc w:val="left"/>
    </w:lvl>
  </w:abstractNum>
  <w:abstractNum w:abstractNumId="12">
    <w:nsid w:val="0941ADC1"/>
    <w:multiLevelType w:val="singleLevel"/>
    <w:tmpl w:val="98E24815"/>
    <w:lvl w:ilvl="0">
      <w:numFmt w:val="decimal"/>
      <w:lvlText w:val="•"/>
      <w:lvlJc w:val="left"/>
    </w:lvl>
  </w:abstractNum>
  <w:abstractNum w:abstractNumId="13">
    <w:nsid w:val="182E1E53"/>
    <w:multiLevelType w:val="singleLevel"/>
    <w:tmpl w:val="B586E702"/>
    <w:lvl w:ilvl="0">
      <w:numFmt w:val="decimal"/>
      <w:lvlText w:val="•"/>
      <w:lvlJc w:val="left"/>
    </w:lvl>
  </w:abstractNum>
  <w:abstractNum w:abstractNumId="14">
    <w:nsid w:val="2E9F343E"/>
    <w:multiLevelType w:val="singleLevel"/>
    <w:tmpl w:val="E5F5D3F8"/>
    <w:lvl w:ilvl="0">
      <w:numFmt w:val="decimal"/>
      <w:lvlText w:val="•"/>
      <w:lvlJc w:val="left"/>
    </w:lvl>
  </w:abstractNum>
  <w:abstractNum w:abstractNumId="15">
    <w:nsid w:val="40F235A4"/>
    <w:multiLevelType w:val="singleLevel"/>
    <w:tmpl w:val="ED1016AB"/>
    <w:lvl w:ilvl="0">
      <w:numFmt w:val="decimal"/>
      <w:lvlText w:val="•"/>
      <w:lvlJc w:val="left"/>
    </w:lvl>
  </w:abstractNum>
  <w:abstractNum w:abstractNumId="16">
    <w:nsid w:val="47AF35CA"/>
    <w:multiLevelType w:val="singleLevel"/>
    <w:tmpl w:val="1B7EEAD0"/>
    <w:lvl w:ilvl="0">
      <w:numFmt w:val="decimal"/>
      <w:lvlText w:val="•"/>
      <w:lvlJc w:val="left"/>
    </w:lvl>
  </w:abstractNum>
  <w:abstractNum w:abstractNumId="17">
    <w:nsid w:val="4ADE8FC6"/>
    <w:multiLevelType w:val="singleLevel"/>
    <w:tmpl w:val="BF7F8CDE"/>
    <w:lvl w:ilvl="0">
      <w:numFmt w:val="decimal"/>
      <w:lvlText w:val="•"/>
      <w:lvlJc w:val="left"/>
    </w:lvl>
  </w:abstractNum>
  <w:abstractNum w:abstractNumId="18">
    <w:nsid w:val="50F150CE"/>
    <w:multiLevelType w:val="singleLevel"/>
    <w:tmpl w:val="DF01D01A"/>
    <w:lvl w:ilvl="0">
      <w:numFmt w:val="decimal"/>
      <w:lvlText w:val="•"/>
      <w:lvlJc w:val="left"/>
    </w:lvl>
  </w:abstractNum>
  <w:abstractNum w:abstractNumId="19">
    <w:nsid w:val="541EDD6B"/>
    <w:multiLevelType w:val="singleLevel"/>
    <w:tmpl w:val="E21407E3"/>
    <w:lvl w:ilvl="0">
      <w:numFmt w:val="decimal"/>
      <w:lvlText w:val="•"/>
      <w:lvlJc w:val="left"/>
    </w:lvl>
  </w:abstractNum>
  <w:abstractNum w:abstractNumId="20">
    <w:nsid w:val="571D355D"/>
    <w:multiLevelType w:val="hybridMultilevel"/>
    <w:tmpl w:val="F8FE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D3769"/>
    <w:multiLevelType w:val="hybridMultilevel"/>
    <w:tmpl w:val="EB7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68A8A"/>
    <w:multiLevelType w:val="singleLevel"/>
    <w:tmpl w:val="D0FE7456"/>
    <w:lvl w:ilvl="0">
      <w:numFmt w:val="decimal"/>
      <w:lvlText w:val="•"/>
      <w:lvlJc w:val="left"/>
    </w:lvl>
  </w:abstractNum>
  <w:abstractNum w:abstractNumId="23">
    <w:nsid w:val="656005C6"/>
    <w:multiLevelType w:val="singleLevel"/>
    <w:tmpl w:val="260017B1"/>
    <w:lvl w:ilvl="0">
      <w:numFmt w:val="decimal"/>
      <w:lvlText w:val="•"/>
      <w:lvlJc w:val="left"/>
    </w:lvl>
  </w:abstractNum>
  <w:abstractNum w:abstractNumId="24">
    <w:nsid w:val="6EC4368E"/>
    <w:multiLevelType w:val="singleLevel"/>
    <w:tmpl w:val="EBF7A24A"/>
    <w:lvl w:ilvl="0">
      <w:numFmt w:val="decimal"/>
      <w:lvlText w:val="•"/>
      <w:lvlJc w:val="left"/>
    </w:lvl>
  </w:abstractNum>
  <w:num w:numId="1">
    <w:abstractNumId w:val="1"/>
  </w:num>
  <w:num w:numId="2">
    <w:abstractNumId w:val="0"/>
  </w:num>
  <w:num w:numId="3">
    <w:abstractNumId w:val="17"/>
  </w:num>
  <w:num w:numId="4">
    <w:abstractNumId w:val="13"/>
  </w:num>
  <w:num w:numId="5">
    <w:abstractNumId w:val="22"/>
  </w:num>
  <w:num w:numId="6">
    <w:abstractNumId w:val="6"/>
  </w:num>
  <w:num w:numId="7">
    <w:abstractNumId w:val="19"/>
  </w:num>
  <w:num w:numId="8">
    <w:abstractNumId w:val="5"/>
  </w:num>
  <w:num w:numId="9">
    <w:abstractNumId w:val="11"/>
  </w:num>
  <w:num w:numId="10">
    <w:abstractNumId w:val="3"/>
  </w:num>
  <w:num w:numId="11">
    <w:abstractNumId w:val="12"/>
  </w:num>
  <w:num w:numId="12">
    <w:abstractNumId w:val="16"/>
  </w:num>
  <w:num w:numId="13">
    <w:abstractNumId w:val="4"/>
  </w:num>
  <w:num w:numId="14">
    <w:abstractNumId w:val="23"/>
  </w:num>
  <w:num w:numId="15">
    <w:abstractNumId w:val="10"/>
  </w:num>
  <w:num w:numId="16">
    <w:abstractNumId w:val="18"/>
  </w:num>
  <w:num w:numId="17">
    <w:abstractNumId w:val="9"/>
  </w:num>
  <w:num w:numId="18">
    <w:abstractNumId w:val="24"/>
  </w:num>
  <w:num w:numId="19">
    <w:abstractNumId w:val="14"/>
  </w:num>
  <w:num w:numId="20">
    <w:abstractNumId w:val="7"/>
  </w:num>
  <w:num w:numId="21">
    <w:abstractNumId w:val="8"/>
  </w:num>
  <w:num w:numId="22">
    <w:abstractNumId w:val="2"/>
  </w:num>
  <w:num w:numId="23">
    <w:abstractNumId w:val="15"/>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22"/>
    <w:rsid w:val="001101BC"/>
    <w:rsid w:val="00136FAC"/>
    <w:rsid w:val="00142B14"/>
    <w:rsid w:val="00142B8E"/>
    <w:rsid w:val="00155C4C"/>
    <w:rsid w:val="002A1864"/>
    <w:rsid w:val="002C5CED"/>
    <w:rsid w:val="002C6DF9"/>
    <w:rsid w:val="00356B54"/>
    <w:rsid w:val="003A2F42"/>
    <w:rsid w:val="003A48D8"/>
    <w:rsid w:val="004219E4"/>
    <w:rsid w:val="0045492F"/>
    <w:rsid w:val="00464868"/>
    <w:rsid w:val="0051544C"/>
    <w:rsid w:val="00576530"/>
    <w:rsid w:val="00614703"/>
    <w:rsid w:val="00625258"/>
    <w:rsid w:val="0064565C"/>
    <w:rsid w:val="0070544E"/>
    <w:rsid w:val="00715FB6"/>
    <w:rsid w:val="007471AF"/>
    <w:rsid w:val="00806981"/>
    <w:rsid w:val="0081149F"/>
    <w:rsid w:val="0083731E"/>
    <w:rsid w:val="008B3729"/>
    <w:rsid w:val="00912F72"/>
    <w:rsid w:val="009E0C0E"/>
    <w:rsid w:val="00A0258A"/>
    <w:rsid w:val="00A43EC5"/>
    <w:rsid w:val="00A737CD"/>
    <w:rsid w:val="00A96743"/>
    <w:rsid w:val="00AA403D"/>
    <w:rsid w:val="00B16EB4"/>
    <w:rsid w:val="00B42FEE"/>
    <w:rsid w:val="00B748D5"/>
    <w:rsid w:val="00CD741E"/>
    <w:rsid w:val="00CF23CC"/>
    <w:rsid w:val="00D72F1F"/>
    <w:rsid w:val="00E13859"/>
    <w:rsid w:val="00E43E2C"/>
    <w:rsid w:val="00F27022"/>
    <w:rsid w:val="00F373AF"/>
    <w:rsid w:val="00F6260E"/>
    <w:rsid w:val="00F723EE"/>
    <w:rsid w:val="00FC1012"/>
    <w:rsid w:val="00FC77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636F"/>
  <w15:docId w15:val="{AC9AC16C-39C3-4979-ACF1-F19F20E6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022"/>
    <w:pPr>
      <w:spacing w:after="0" w:line="264"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02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7022"/>
    <w:rPr>
      <w:sz w:val="16"/>
      <w:szCs w:val="16"/>
    </w:rPr>
  </w:style>
  <w:style w:type="paragraph" w:styleId="CommentText">
    <w:name w:val="annotation text"/>
    <w:basedOn w:val="Normal"/>
    <w:link w:val="CommentTextChar"/>
    <w:uiPriority w:val="99"/>
    <w:semiHidden/>
    <w:unhideWhenUsed/>
    <w:rsid w:val="00F27022"/>
    <w:pPr>
      <w:spacing w:line="240" w:lineRule="auto"/>
    </w:pPr>
  </w:style>
  <w:style w:type="character" w:customStyle="1" w:styleId="CommentTextChar">
    <w:name w:val="Comment Text Char"/>
    <w:basedOn w:val="DefaultParagraphFont"/>
    <w:link w:val="CommentText"/>
    <w:uiPriority w:val="99"/>
    <w:semiHidden/>
    <w:rsid w:val="00F2702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27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14703"/>
    <w:rPr>
      <w:b/>
      <w:bCs/>
    </w:rPr>
  </w:style>
  <w:style w:type="character" w:customStyle="1" w:styleId="CommentSubjectChar">
    <w:name w:val="Comment Subject Char"/>
    <w:basedOn w:val="CommentTextChar"/>
    <w:link w:val="CommentSubject"/>
    <w:uiPriority w:val="99"/>
    <w:semiHidden/>
    <w:rsid w:val="00614703"/>
    <w:rPr>
      <w:rFonts w:ascii="Arial" w:eastAsia="Times New Roman" w:hAnsi="Arial" w:cs="Times New Roman"/>
      <w:b/>
      <w:bCs/>
      <w:sz w:val="20"/>
      <w:szCs w:val="20"/>
    </w:rPr>
  </w:style>
  <w:style w:type="paragraph" w:styleId="ListParagraph">
    <w:name w:val="List Paragraph"/>
    <w:basedOn w:val="Normal"/>
    <w:uiPriority w:val="34"/>
    <w:qFormat/>
    <w:rsid w:val="00B748D5"/>
    <w:pPr>
      <w:ind w:left="720"/>
      <w:contextualSpacing/>
    </w:pPr>
  </w:style>
  <w:style w:type="paragraph" w:styleId="Revision">
    <w:name w:val="Revision"/>
    <w:hidden/>
    <w:uiPriority w:val="99"/>
    <w:semiHidden/>
    <w:rsid w:val="00CF23C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F373AF"/>
    <w:pPr>
      <w:tabs>
        <w:tab w:val="center" w:pos="4513"/>
        <w:tab w:val="right" w:pos="9026"/>
      </w:tabs>
      <w:spacing w:line="240" w:lineRule="auto"/>
    </w:pPr>
  </w:style>
  <w:style w:type="character" w:customStyle="1" w:styleId="HeaderChar">
    <w:name w:val="Header Char"/>
    <w:basedOn w:val="DefaultParagraphFont"/>
    <w:link w:val="Header"/>
    <w:uiPriority w:val="99"/>
    <w:rsid w:val="00F373AF"/>
    <w:rPr>
      <w:rFonts w:ascii="Arial" w:eastAsia="Times New Roman" w:hAnsi="Arial" w:cs="Times New Roman"/>
      <w:sz w:val="20"/>
      <w:szCs w:val="20"/>
    </w:rPr>
  </w:style>
  <w:style w:type="paragraph" w:styleId="Footer">
    <w:name w:val="footer"/>
    <w:basedOn w:val="Normal"/>
    <w:link w:val="FooterChar"/>
    <w:uiPriority w:val="99"/>
    <w:unhideWhenUsed/>
    <w:rsid w:val="00F373AF"/>
    <w:pPr>
      <w:tabs>
        <w:tab w:val="center" w:pos="4513"/>
        <w:tab w:val="right" w:pos="9026"/>
      </w:tabs>
      <w:spacing w:line="240" w:lineRule="auto"/>
    </w:pPr>
  </w:style>
  <w:style w:type="character" w:customStyle="1" w:styleId="FooterChar">
    <w:name w:val="Footer Char"/>
    <w:basedOn w:val="DefaultParagraphFont"/>
    <w:link w:val="Footer"/>
    <w:uiPriority w:val="99"/>
    <w:rsid w:val="00F373A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2B0AE3-2277-D743-8873-F543228A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1615</Words>
  <Characters>9211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Shilliday</dc:creator>
  <cp:keywords/>
  <dc:description/>
  <cp:lastModifiedBy>Microsoft Office User</cp:lastModifiedBy>
  <cp:revision>5</cp:revision>
  <cp:lastPrinted>2018-05-10T13:43:00Z</cp:lastPrinted>
  <dcterms:created xsi:type="dcterms:W3CDTF">2018-05-10T13:43:00Z</dcterms:created>
  <dcterms:modified xsi:type="dcterms:W3CDTF">2018-05-18T13:45:00Z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4169862v1</vt:lpwstr>
  </property>
</Properties>
</file>